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92" w:rsidRPr="00FC5F3E" w:rsidRDefault="00E0131A" w:rsidP="00FC5F3E">
      <w:pPr>
        <w:pBdr>
          <w:bottom w:val="single" w:sz="4" w:space="1" w:color="auto"/>
        </w:pBdr>
        <w:rPr>
          <w:b/>
          <w:sz w:val="40"/>
          <w:lang w:val="de-DE"/>
        </w:rPr>
      </w:pPr>
      <w:r w:rsidRPr="00EC3692">
        <w:rPr>
          <w:b/>
          <w:sz w:val="40"/>
          <w:lang w:val="de-DE"/>
        </w:rPr>
        <w:t>Ein Brunnen für den Kind</w:t>
      </w:r>
      <w:r w:rsidR="00EC3692">
        <w:rPr>
          <w:b/>
          <w:sz w:val="40"/>
          <w:lang w:val="de-DE"/>
        </w:rPr>
        <w:t xml:space="preserve">ergarten und die Schule in Miqe </w:t>
      </w:r>
      <w:r w:rsidR="00FC5F3E">
        <w:rPr>
          <w:b/>
          <w:sz w:val="40"/>
          <w:lang w:val="de-DE"/>
        </w:rPr>
        <w:t>–</w:t>
      </w:r>
      <w:r w:rsidR="00EC3692">
        <w:rPr>
          <w:b/>
          <w:sz w:val="40"/>
          <w:lang w:val="de-DE"/>
        </w:rPr>
        <w:t xml:space="preserve"> </w:t>
      </w:r>
      <w:r w:rsidRPr="00EC3692">
        <w:rPr>
          <w:b/>
          <w:sz w:val="40"/>
          <w:lang w:val="de-DE"/>
        </w:rPr>
        <w:t>Südäthiopien</w:t>
      </w:r>
      <w:r w:rsidR="00FC5F3E">
        <w:rPr>
          <w:b/>
          <w:sz w:val="40"/>
          <w:lang w:val="de-DE"/>
        </w:rPr>
        <w:br/>
      </w:r>
      <w:r w:rsidR="0020682C" w:rsidRPr="0020682C">
        <w:rPr>
          <w:b/>
          <w:color w:val="7F7F7F" w:themeColor="text1" w:themeTint="80"/>
          <w:sz w:val="40"/>
          <w:lang w:val="de-DE"/>
        </w:rPr>
        <w:t>Caritas Auslandshilfe Vorarlberg</w:t>
      </w:r>
    </w:p>
    <w:p w:rsidR="0033479E" w:rsidRPr="00EC3692" w:rsidRDefault="0020682C" w:rsidP="0033479E">
      <w:pPr>
        <w:rPr>
          <w:b/>
          <w:sz w:val="28"/>
          <w:lang w:val="de-DE"/>
        </w:rPr>
      </w:pPr>
      <w:r>
        <w:rPr>
          <w:b/>
          <w:sz w:val="28"/>
          <w:lang w:val="de-DE"/>
        </w:rPr>
        <w:br/>
      </w:r>
      <w:r w:rsidR="0033479E" w:rsidRPr="00EC3692">
        <w:rPr>
          <w:b/>
          <w:sz w:val="28"/>
          <w:lang w:val="de-DE"/>
        </w:rPr>
        <w:t>Ku</w:t>
      </w:r>
      <w:r w:rsidR="00397D77" w:rsidRPr="00EC3692">
        <w:rPr>
          <w:b/>
          <w:sz w:val="28"/>
          <w:lang w:val="de-DE"/>
        </w:rPr>
        <w:t>rzb</w:t>
      </w:r>
      <w:r w:rsidR="0033479E" w:rsidRPr="00EC3692">
        <w:rPr>
          <w:b/>
          <w:sz w:val="28"/>
          <w:lang w:val="de-DE"/>
        </w:rPr>
        <w:t>eschreibung des Projekts</w:t>
      </w:r>
    </w:p>
    <w:p w:rsidR="0033479E" w:rsidRPr="0033479E" w:rsidRDefault="00E0131A" w:rsidP="0033479E">
      <w:pPr>
        <w:rPr>
          <w:lang w:val="de-DE"/>
        </w:rPr>
      </w:pPr>
      <w:r>
        <w:rPr>
          <w:b/>
          <w:lang w:val="de-DE"/>
        </w:rPr>
        <w:t>Ausgangssitu</w:t>
      </w:r>
      <w:r w:rsidR="00331DEC">
        <w:rPr>
          <w:b/>
          <w:lang w:val="de-DE"/>
        </w:rPr>
        <w:t>a</w:t>
      </w:r>
      <w:r>
        <w:rPr>
          <w:b/>
          <w:lang w:val="de-DE"/>
        </w:rPr>
        <w:t xml:space="preserve">tion: </w:t>
      </w:r>
      <w:r w:rsidR="0033479E" w:rsidRPr="00D171B8">
        <w:rPr>
          <w:lang w:val="de-DE"/>
        </w:rPr>
        <w:t xml:space="preserve">Es gibt 56 Bildungseinrichtungen im Vikariat, </w:t>
      </w:r>
      <w:r w:rsidR="00331DEC">
        <w:rPr>
          <w:lang w:val="de-DE"/>
        </w:rPr>
        <w:t xml:space="preserve">davon </w:t>
      </w:r>
      <w:r w:rsidR="0033479E" w:rsidRPr="0033479E">
        <w:rPr>
          <w:lang w:val="de-DE"/>
        </w:rPr>
        <w:t>19 Kindergärten, 33 Grundschulen, 2 Gymnasien und 2 berufsbildende Schulen. Die Mi</w:t>
      </w:r>
      <w:r>
        <w:rPr>
          <w:lang w:val="de-DE"/>
        </w:rPr>
        <w:t>q</w:t>
      </w:r>
      <w:r w:rsidR="0033479E" w:rsidRPr="0033479E">
        <w:rPr>
          <w:lang w:val="de-DE"/>
        </w:rPr>
        <w:t>e Catholic Primary School ist eine dieser Bildungseinrichtungen, die 1992 von Comboni-M</w:t>
      </w:r>
      <w:r>
        <w:rPr>
          <w:lang w:val="de-DE"/>
        </w:rPr>
        <w:t>issionaren</w:t>
      </w:r>
      <w:r w:rsidR="0033479E" w:rsidRPr="0033479E">
        <w:rPr>
          <w:lang w:val="de-DE"/>
        </w:rPr>
        <w:t xml:space="preserve"> gegründet wurde. </w:t>
      </w:r>
    </w:p>
    <w:p w:rsidR="0033479E" w:rsidRPr="0033479E" w:rsidRDefault="00331DEC" w:rsidP="0033479E">
      <w:pPr>
        <w:rPr>
          <w:lang w:val="de-DE"/>
        </w:rPr>
      </w:pPr>
      <w:r>
        <w:rPr>
          <w:b/>
          <w:lang w:val="de-DE"/>
        </w:rPr>
        <w:t xml:space="preserve">Das Problem: </w:t>
      </w:r>
      <w:r w:rsidR="00E0131A" w:rsidRPr="00E0131A">
        <w:rPr>
          <w:b/>
          <w:lang w:val="de-DE"/>
        </w:rPr>
        <w:t>Kein Trinkwasser</w:t>
      </w:r>
      <w:r>
        <w:rPr>
          <w:b/>
          <w:lang w:val="de-DE"/>
        </w:rPr>
        <w:t xml:space="preserve">. </w:t>
      </w:r>
      <w:r w:rsidR="0033479E" w:rsidRPr="0033479E">
        <w:rPr>
          <w:lang w:val="de-DE"/>
        </w:rPr>
        <w:t>Die Schu</w:t>
      </w:r>
      <w:r w:rsidR="00D171B8">
        <w:rPr>
          <w:lang w:val="de-DE"/>
        </w:rPr>
        <w:t>le hat keine Trinkwasserversorgung</w:t>
      </w:r>
      <w:r w:rsidR="0033479E" w:rsidRPr="0033479E">
        <w:rPr>
          <w:lang w:val="de-DE"/>
        </w:rPr>
        <w:t xml:space="preserve"> für </w:t>
      </w:r>
      <w:r w:rsidR="00E0131A">
        <w:rPr>
          <w:lang w:val="de-DE"/>
        </w:rPr>
        <w:t xml:space="preserve">die </w:t>
      </w:r>
      <w:r w:rsidR="0033479E" w:rsidRPr="0033479E">
        <w:rPr>
          <w:lang w:val="de-DE"/>
        </w:rPr>
        <w:t>Schulkinder. Die Schüler</w:t>
      </w:r>
      <w:r w:rsidR="00E0131A">
        <w:rPr>
          <w:lang w:val="de-DE"/>
        </w:rPr>
        <w:t>Innen</w:t>
      </w:r>
      <w:r w:rsidR="0033479E" w:rsidRPr="0033479E">
        <w:rPr>
          <w:lang w:val="de-DE"/>
        </w:rPr>
        <w:t xml:space="preserve"> bleiben </w:t>
      </w:r>
      <w:r>
        <w:rPr>
          <w:lang w:val="de-DE"/>
        </w:rPr>
        <w:t>die ganze Unterr</w:t>
      </w:r>
      <w:r w:rsidR="00E0131A">
        <w:rPr>
          <w:lang w:val="de-DE"/>
        </w:rPr>
        <w:t>ichtszeit über</w:t>
      </w:r>
      <w:r w:rsidR="0033479E" w:rsidRPr="0033479E">
        <w:rPr>
          <w:lang w:val="de-DE"/>
        </w:rPr>
        <w:t xml:space="preserve"> ohne Was</w:t>
      </w:r>
      <w:r>
        <w:rPr>
          <w:lang w:val="de-DE"/>
        </w:rPr>
        <w:t>ser</w:t>
      </w:r>
      <w:r w:rsidR="00D171B8">
        <w:rPr>
          <w:lang w:val="de-DE"/>
        </w:rPr>
        <w:t>versorgung</w:t>
      </w:r>
      <w:r w:rsidR="0033479E" w:rsidRPr="0033479E">
        <w:rPr>
          <w:lang w:val="de-DE"/>
        </w:rPr>
        <w:t xml:space="preserve"> auf dem Schulgelände</w:t>
      </w:r>
      <w:r w:rsidR="00E0131A">
        <w:rPr>
          <w:lang w:val="de-DE"/>
        </w:rPr>
        <w:t xml:space="preserve">. </w:t>
      </w:r>
      <w:r w:rsidR="0033479E" w:rsidRPr="0033479E">
        <w:rPr>
          <w:lang w:val="de-DE"/>
        </w:rPr>
        <w:t>Die Mi</w:t>
      </w:r>
      <w:r w:rsidR="00E0131A">
        <w:rPr>
          <w:lang w:val="de-DE"/>
        </w:rPr>
        <w:t>q</w:t>
      </w:r>
      <w:r w:rsidR="0033479E" w:rsidRPr="0033479E">
        <w:rPr>
          <w:lang w:val="de-DE"/>
        </w:rPr>
        <w:t>e School befindet sich etwa 39 Kilometer südlich der S</w:t>
      </w:r>
      <w:r w:rsidR="00D171B8">
        <w:rPr>
          <w:lang w:val="de-DE"/>
        </w:rPr>
        <w:t xml:space="preserve">tadt Hawassa. </w:t>
      </w:r>
      <w:r w:rsidR="00E0131A">
        <w:rPr>
          <w:lang w:val="de-DE"/>
        </w:rPr>
        <w:t>Das</w:t>
      </w:r>
      <w:r w:rsidR="0033479E" w:rsidRPr="0033479E">
        <w:rPr>
          <w:lang w:val="de-DE"/>
        </w:rPr>
        <w:t xml:space="preserve"> Que</w:t>
      </w:r>
      <w:r w:rsidR="00D171B8">
        <w:rPr>
          <w:lang w:val="de-DE"/>
        </w:rPr>
        <w:t xml:space="preserve">llwasser, das sich </w:t>
      </w:r>
      <w:r w:rsidR="00E0131A">
        <w:rPr>
          <w:lang w:val="de-DE"/>
        </w:rPr>
        <w:t>im Gebiet</w:t>
      </w:r>
      <w:r w:rsidR="00D171B8">
        <w:rPr>
          <w:lang w:val="de-DE"/>
        </w:rPr>
        <w:t xml:space="preserve"> der Schule befindet, ist weit </w:t>
      </w:r>
      <w:r w:rsidR="0033479E" w:rsidRPr="0033479E">
        <w:rPr>
          <w:lang w:val="de-DE"/>
        </w:rPr>
        <w:t xml:space="preserve"> von der Schule</w:t>
      </w:r>
      <w:r w:rsidR="00D171B8">
        <w:rPr>
          <w:lang w:val="de-DE"/>
        </w:rPr>
        <w:t xml:space="preserve"> entfernt</w:t>
      </w:r>
      <w:r w:rsidR="0033479E" w:rsidRPr="0033479E">
        <w:rPr>
          <w:lang w:val="de-DE"/>
        </w:rPr>
        <w:t xml:space="preserve"> </w:t>
      </w:r>
      <w:r w:rsidR="00E0131A">
        <w:rPr>
          <w:lang w:val="de-DE"/>
        </w:rPr>
        <w:t xml:space="preserve">, </w:t>
      </w:r>
      <w:r w:rsidR="0033479E" w:rsidRPr="0033479E">
        <w:rPr>
          <w:lang w:val="de-DE"/>
        </w:rPr>
        <w:t xml:space="preserve">es ist </w:t>
      </w:r>
      <w:r>
        <w:rPr>
          <w:lang w:val="de-DE"/>
        </w:rPr>
        <w:t xml:space="preserve">daher </w:t>
      </w:r>
      <w:r w:rsidR="0033479E" w:rsidRPr="0033479E">
        <w:rPr>
          <w:lang w:val="de-DE"/>
        </w:rPr>
        <w:t>nicht möglich, dass Schüler während der Schulzeit Trinkwasser haben. Es besteht jedoch die Möglichkeit, eine unterirdische Wasserqu</w:t>
      </w:r>
      <w:r w:rsidR="00593AEE">
        <w:rPr>
          <w:lang w:val="de-DE"/>
        </w:rPr>
        <w:t xml:space="preserve">elle im Schulgelände zu </w:t>
      </w:r>
      <w:r w:rsidR="00E0131A">
        <w:rPr>
          <w:lang w:val="de-DE"/>
        </w:rPr>
        <w:t>erschließen</w:t>
      </w:r>
      <w:r w:rsidR="0033479E" w:rsidRPr="0033479E">
        <w:rPr>
          <w:lang w:val="de-DE"/>
        </w:rPr>
        <w:t xml:space="preserve">. Daher ist das </w:t>
      </w:r>
      <w:r w:rsidR="00593AEE">
        <w:rPr>
          <w:lang w:val="de-DE"/>
        </w:rPr>
        <w:t>G</w:t>
      </w:r>
      <w:r w:rsidR="0033479E" w:rsidRPr="0033479E">
        <w:rPr>
          <w:lang w:val="de-DE"/>
        </w:rPr>
        <w:t>raben</w:t>
      </w:r>
      <w:r w:rsidR="00593AEE">
        <w:rPr>
          <w:lang w:val="de-DE"/>
        </w:rPr>
        <w:t xml:space="preserve"> eines </w:t>
      </w:r>
      <w:r w:rsidR="00593AEE" w:rsidRPr="0033479E">
        <w:rPr>
          <w:lang w:val="de-DE"/>
        </w:rPr>
        <w:t>Brunnen</w:t>
      </w:r>
      <w:r w:rsidR="00593AEE">
        <w:rPr>
          <w:lang w:val="de-DE"/>
        </w:rPr>
        <w:t>s</w:t>
      </w:r>
      <w:r w:rsidR="0033479E" w:rsidRPr="0033479E">
        <w:rPr>
          <w:lang w:val="de-DE"/>
        </w:rPr>
        <w:t xml:space="preserve"> die beste Option, um </w:t>
      </w:r>
      <w:r w:rsidR="00E0131A">
        <w:rPr>
          <w:lang w:val="de-DE"/>
        </w:rPr>
        <w:t xml:space="preserve">endlich </w:t>
      </w:r>
      <w:r>
        <w:rPr>
          <w:lang w:val="de-DE"/>
        </w:rPr>
        <w:t>Trinkwasser für die Schul</w:t>
      </w:r>
      <w:r w:rsidR="00E0131A">
        <w:rPr>
          <w:lang w:val="de-DE"/>
        </w:rPr>
        <w:t>e und den Kindergarten</w:t>
      </w:r>
      <w:r w:rsidR="0033479E" w:rsidRPr="0033479E">
        <w:rPr>
          <w:lang w:val="de-DE"/>
        </w:rPr>
        <w:t xml:space="preserve"> zur Verfügung zu haben.</w:t>
      </w:r>
    </w:p>
    <w:p w:rsidR="0033479E" w:rsidRPr="00E0131A" w:rsidRDefault="0033479E" w:rsidP="0033479E">
      <w:pPr>
        <w:rPr>
          <w:b/>
          <w:lang w:val="de-DE"/>
        </w:rPr>
      </w:pPr>
      <w:r w:rsidRPr="00DF5A4A">
        <w:rPr>
          <w:b/>
          <w:lang w:val="de-DE"/>
        </w:rPr>
        <w:t>Gemeinschaftsbeteiligung</w:t>
      </w:r>
      <w:r w:rsidR="00E0131A">
        <w:rPr>
          <w:b/>
          <w:lang w:val="de-DE"/>
        </w:rPr>
        <w:t xml:space="preserve">. </w:t>
      </w:r>
      <w:r w:rsidRPr="0033479E">
        <w:rPr>
          <w:lang w:val="de-DE"/>
        </w:rPr>
        <w:t xml:space="preserve">Der Fokus des Projekts liegt auf der Bereitstellung von </w:t>
      </w:r>
      <w:r w:rsidR="00593AEE">
        <w:rPr>
          <w:lang w:val="de-DE"/>
        </w:rPr>
        <w:t xml:space="preserve">sauberem </w:t>
      </w:r>
      <w:r w:rsidRPr="0033479E">
        <w:rPr>
          <w:lang w:val="de-DE"/>
        </w:rPr>
        <w:t>Trinkwasser für Grundschüler. Die Schüler</w:t>
      </w:r>
      <w:r w:rsidR="00E0131A">
        <w:rPr>
          <w:lang w:val="de-DE"/>
        </w:rPr>
        <w:t>Innen</w:t>
      </w:r>
      <w:r w:rsidRPr="0033479E">
        <w:rPr>
          <w:lang w:val="de-DE"/>
        </w:rPr>
        <w:t xml:space="preserve"> der Mi</w:t>
      </w:r>
      <w:r w:rsidR="00E0131A">
        <w:rPr>
          <w:lang w:val="de-DE"/>
        </w:rPr>
        <w:t>q</w:t>
      </w:r>
      <w:r w:rsidRPr="0033479E">
        <w:rPr>
          <w:lang w:val="de-DE"/>
        </w:rPr>
        <w:t>e Catholic Primary School sind direkte Nutznießer</w:t>
      </w:r>
      <w:r w:rsidR="00E0131A">
        <w:rPr>
          <w:lang w:val="de-DE"/>
        </w:rPr>
        <w:t>Innen</w:t>
      </w:r>
      <w:r w:rsidRPr="0033479E">
        <w:rPr>
          <w:lang w:val="de-DE"/>
        </w:rPr>
        <w:t xml:space="preserve"> des Projekts. Die Eltern </w:t>
      </w:r>
      <w:r w:rsidR="00E0131A">
        <w:rPr>
          <w:lang w:val="de-DE"/>
        </w:rPr>
        <w:t>der Kinder werden in die Projektumsetzung integriert, sie</w:t>
      </w:r>
      <w:r w:rsidRPr="0033479E">
        <w:rPr>
          <w:lang w:val="de-DE"/>
        </w:rPr>
        <w:t xml:space="preserve"> nehmen an der Standortauswahl teil, </w:t>
      </w:r>
      <w:r w:rsidR="00593AEE">
        <w:rPr>
          <w:lang w:val="de-DE"/>
        </w:rPr>
        <w:t xml:space="preserve">stellen </w:t>
      </w:r>
      <w:r w:rsidRPr="0033479E">
        <w:rPr>
          <w:lang w:val="de-DE"/>
        </w:rPr>
        <w:t>Informationen über Wasserquellen</w:t>
      </w:r>
      <w:r w:rsidR="00593AEE">
        <w:rPr>
          <w:lang w:val="de-DE"/>
        </w:rPr>
        <w:t xml:space="preserve"> bereit</w:t>
      </w:r>
      <w:r w:rsidRPr="0033479E">
        <w:rPr>
          <w:lang w:val="de-DE"/>
        </w:rPr>
        <w:t xml:space="preserve">, </w:t>
      </w:r>
      <w:r w:rsidR="00E0131A">
        <w:rPr>
          <w:lang w:val="de-DE"/>
        </w:rPr>
        <w:t xml:space="preserve">halten die </w:t>
      </w:r>
      <w:r w:rsidRPr="0033479E">
        <w:rPr>
          <w:lang w:val="de-DE"/>
        </w:rPr>
        <w:t>Straßen zur Schule</w:t>
      </w:r>
      <w:r w:rsidR="00E0131A">
        <w:rPr>
          <w:lang w:val="de-DE"/>
        </w:rPr>
        <w:t xml:space="preserve"> instand</w:t>
      </w:r>
      <w:r w:rsidRPr="0033479E">
        <w:rPr>
          <w:lang w:val="de-DE"/>
        </w:rPr>
        <w:t xml:space="preserve">, entladen Baumaterial, stellen Land für den Brunnenbau zur Verfügung, </w:t>
      </w:r>
      <w:r w:rsidR="00593AEE">
        <w:rPr>
          <w:lang w:val="de-DE"/>
        </w:rPr>
        <w:t xml:space="preserve">zäunen </w:t>
      </w:r>
      <w:r w:rsidR="00331DEC">
        <w:rPr>
          <w:lang w:val="de-DE"/>
        </w:rPr>
        <w:t>B</w:t>
      </w:r>
      <w:r w:rsidR="00593AEE">
        <w:rPr>
          <w:lang w:val="de-DE"/>
        </w:rPr>
        <w:t xml:space="preserve">runnen und Wasserstellen ein,  mobilisieren die Bevölkerung zum </w:t>
      </w:r>
      <w:r w:rsidRPr="0033479E">
        <w:rPr>
          <w:lang w:val="de-DE"/>
        </w:rPr>
        <w:t>Sammeln von Zaun</w:t>
      </w:r>
      <w:r w:rsidR="00E0131A">
        <w:rPr>
          <w:lang w:val="de-DE"/>
        </w:rPr>
        <w:t>-</w:t>
      </w:r>
      <w:r w:rsidRPr="0033479E">
        <w:rPr>
          <w:lang w:val="de-DE"/>
        </w:rPr>
        <w:t xml:space="preserve">Baumaterialien, Entfernen </w:t>
      </w:r>
      <w:r w:rsidR="00E0131A">
        <w:rPr>
          <w:lang w:val="de-DE"/>
        </w:rPr>
        <w:t>die</w:t>
      </w:r>
      <w:r w:rsidRPr="0033479E">
        <w:rPr>
          <w:lang w:val="de-DE"/>
        </w:rPr>
        <w:t xml:space="preserve"> Erde, die</w:t>
      </w:r>
      <w:r w:rsidR="00CF1E08">
        <w:rPr>
          <w:lang w:val="de-DE"/>
        </w:rPr>
        <w:t xml:space="preserve"> aus dem Brunnen gegraben wird und gewährleisten </w:t>
      </w:r>
      <w:r w:rsidRPr="0033479E">
        <w:rPr>
          <w:lang w:val="de-DE"/>
        </w:rPr>
        <w:t>die</w:t>
      </w:r>
      <w:r w:rsidR="00CF1E08">
        <w:rPr>
          <w:lang w:val="de-DE"/>
        </w:rPr>
        <w:t xml:space="preserve"> Sicherheit der Baumaterialien </w:t>
      </w:r>
      <w:r w:rsidRPr="0033479E">
        <w:rPr>
          <w:lang w:val="de-DE"/>
        </w:rPr>
        <w:t xml:space="preserve"> und andere</w:t>
      </w:r>
      <w:r w:rsidR="00CF1E08">
        <w:rPr>
          <w:lang w:val="de-DE"/>
        </w:rPr>
        <w:t>s.</w:t>
      </w:r>
    </w:p>
    <w:p w:rsidR="0033479E" w:rsidRPr="0033479E" w:rsidRDefault="0033479E" w:rsidP="0033479E">
      <w:pPr>
        <w:rPr>
          <w:lang w:val="de-DE"/>
        </w:rPr>
      </w:pPr>
      <w:r w:rsidRPr="00E0131A">
        <w:rPr>
          <w:b/>
          <w:lang w:val="de-DE"/>
        </w:rPr>
        <w:t xml:space="preserve">Zielgruppe des Projekts </w:t>
      </w:r>
      <w:r w:rsidRPr="0033479E">
        <w:rPr>
          <w:lang w:val="de-DE"/>
        </w:rPr>
        <w:t xml:space="preserve">sind </w:t>
      </w:r>
      <w:r w:rsidR="00CF1E08">
        <w:rPr>
          <w:lang w:val="de-DE"/>
        </w:rPr>
        <w:t xml:space="preserve">die </w:t>
      </w:r>
      <w:r w:rsidRPr="0033479E">
        <w:rPr>
          <w:lang w:val="de-DE"/>
        </w:rPr>
        <w:t xml:space="preserve">488 </w:t>
      </w:r>
      <w:r w:rsidR="00CF1E08" w:rsidRPr="0033479E">
        <w:rPr>
          <w:lang w:val="de-DE"/>
        </w:rPr>
        <w:t>Kindergarten- und Grundschulkinder</w:t>
      </w:r>
      <w:r w:rsidR="00CF1E08">
        <w:rPr>
          <w:lang w:val="de-DE"/>
        </w:rPr>
        <w:t xml:space="preserve"> der</w:t>
      </w:r>
      <w:r w:rsidRPr="0033479E">
        <w:rPr>
          <w:lang w:val="de-DE"/>
        </w:rPr>
        <w:t xml:space="preserve"> Mi</w:t>
      </w:r>
      <w:r w:rsidR="00E0131A">
        <w:rPr>
          <w:lang w:val="de-DE"/>
        </w:rPr>
        <w:t>q</w:t>
      </w:r>
      <w:r w:rsidRPr="0033479E">
        <w:rPr>
          <w:lang w:val="de-DE"/>
        </w:rPr>
        <w:t>e Catholic</w:t>
      </w:r>
      <w:r w:rsidR="00CF1E08">
        <w:rPr>
          <w:lang w:val="de-DE"/>
        </w:rPr>
        <w:t xml:space="preserve"> School</w:t>
      </w:r>
      <w:r w:rsidR="00331DEC">
        <w:rPr>
          <w:lang w:val="de-DE"/>
        </w:rPr>
        <w:t xml:space="preserve">. </w:t>
      </w:r>
      <w:r w:rsidRPr="0033479E">
        <w:rPr>
          <w:lang w:val="de-DE"/>
        </w:rPr>
        <w:t xml:space="preserve">Davon sind 244 (50%) </w:t>
      </w:r>
      <w:r w:rsidR="00CF1E08">
        <w:rPr>
          <w:lang w:val="de-DE"/>
        </w:rPr>
        <w:t xml:space="preserve">weiblich. </w:t>
      </w:r>
      <w:r w:rsidRPr="0033479E">
        <w:rPr>
          <w:lang w:val="de-DE"/>
        </w:rPr>
        <w:t>Darüber hinaus gibt es 15 Mitglieder der Schulgemeinschaft, z. B. Lehrer</w:t>
      </w:r>
      <w:r w:rsidR="00E0131A">
        <w:rPr>
          <w:lang w:val="de-DE"/>
        </w:rPr>
        <w:t>Innen</w:t>
      </w:r>
      <w:r w:rsidRPr="0033479E">
        <w:rPr>
          <w:lang w:val="de-DE"/>
        </w:rPr>
        <w:t xml:space="preserve"> und andere Hilfskräfte, die direkt von diesem Projekt profitieren.</w:t>
      </w:r>
    </w:p>
    <w:p w:rsidR="00E0131A" w:rsidRDefault="0033479E" w:rsidP="0033479E">
      <w:pPr>
        <w:rPr>
          <w:lang w:val="de-DE"/>
        </w:rPr>
      </w:pPr>
      <w:r w:rsidRPr="0033479E">
        <w:rPr>
          <w:lang w:val="de-DE"/>
        </w:rPr>
        <w:t>Außerdem wird erwartet, dass 150 Haushalte</w:t>
      </w:r>
      <w:r w:rsidR="00E0131A">
        <w:rPr>
          <w:lang w:val="de-DE"/>
        </w:rPr>
        <w:t xml:space="preserve"> (ca. 800 Personen) </w:t>
      </w:r>
      <w:r w:rsidRPr="0033479E">
        <w:rPr>
          <w:lang w:val="de-DE"/>
        </w:rPr>
        <w:t xml:space="preserve"> </w:t>
      </w:r>
      <w:r w:rsidR="00E0131A">
        <w:rPr>
          <w:lang w:val="de-DE"/>
        </w:rPr>
        <w:t>im Umfeld der</w:t>
      </w:r>
      <w:r w:rsidRPr="0033479E">
        <w:rPr>
          <w:lang w:val="de-DE"/>
        </w:rPr>
        <w:t xml:space="preserve"> Schule die Wasserstelle nutzen. </w:t>
      </w:r>
      <w:r w:rsidR="00E0131A">
        <w:rPr>
          <w:lang w:val="de-DE"/>
        </w:rPr>
        <w:t xml:space="preserve">Insgesamt werden somit </w:t>
      </w:r>
      <w:r w:rsidRPr="0033479E">
        <w:rPr>
          <w:lang w:val="de-DE"/>
        </w:rPr>
        <w:t xml:space="preserve">mehr als 1.300 Personen direkt von </w:t>
      </w:r>
      <w:r w:rsidR="00E0131A">
        <w:rPr>
          <w:lang w:val="de-DE"/>
        </w:rPr>
        <w:t>diesem Brunnenprojekt</w:t>
      </w:r>
      <w:r w:rsidRPr="0033479E">
        <w:rPr>
          <w:lang w:val="de-DE"/>
        </w:rPr>
        <w:t xml:space="preserve"> profitieren.</w:t>
      </w:r>
    </w:p>
    <w:p w:rsidR="0033479E" w:rsidRPr="00DF5A4A" w:rsidRDefault="0033479E" w:rsidP="0033479E">
      <w:pPr>
        <w:rPr>
          <w:b/>
          <w:lang w:val="de-DE"/>
        </w:rPr>
      </w:pPr>
      <w:r w:rsidRPr="00DF5A4A">
        <w:rPr>
          <w:b/>
          <w:lang w:val="de-DE"/>
        </w:rPr>
        <w:t>Auswirkungen des Projekts</w:t>
      </w:r>
    </w:p>
    <w:p w:rsidR="0033479E" w:rsidRPr="0033479E" w:rsidRDefault="0033479E" w:rsidP="0033479E">
      <w:pPr>
        <w:rPr>
          <w:lang w:val="de-DE"/>
        </w:rPr>
      </w:pPr>
      <w:r w:rsidRPr="0033479E">
        <w:rPr>
          <w:lang w:val="de-DE"/>
        </w:rPr>
        <w:t>- mehr als 1.300 Personen erhalte</w:t>
      </w:r>
      <w:r w:rsidR="00912F6B">
        <w:rPr>
          <w:lang w:val="de-DE"/>
        </w:rPr>
        <w:t xml:space="preserve">n </w:t>
      </w:r>
      <w:r w:rsidR="00E0131A">
        <w:rPr>
          <w:lang w:val="de-DE"/>
        </w:rPr>
        <w:t xml:space="preserve">eine </w:t>
      </w:r>
      <w:r w:rsidR="00912F6B">
        <w:rPr>
          <w:lang w:val="de-DE"/>
        </w:rPr>
        <w:t xml:space="preserve">Trinkwasserversorgung und </w:t>
      </w:r>
      <w:r w:rsidR="00E0131A">
        <w:rPr>
          <w:lang w:val="de-DE"/>
        </w:rPr>
        <w:t>der Großteil</w:t>
      </w:r>
      <w:r w:rsidRPr="0033479E">
        <w:rPr>
          <w:lang w:val="de-DE"/>
        </w:rPr>
        <w:t xml:space="preserve"> </w:t>
      </w:r>
      <w:r w:rsidR="00E0131A">
        <w:rPr>
          <w:lang w:val="de-DE"/>
        </w:rPr>
        <w:t>der</w:t>
      </w:r>
      <w:r w:rsidRPr="0033479E">
        <w:rPr>
          <w:lang w:val="de-DE"/>
        </w:rPr>
        <w:t xml:space="preserve"> durch </w:t>
      </w:r>
      <w:r w:rsidR="00E0131A">
        <w:rPr>
          <w:lang w:val="de-DE"/>
        </w:rPr>
        <w:t xml:space="preserve">  </w:t>
      </w:r>
      <w:r w:rsidR="00E0131A">
        <w:rPr>
          <w:lang w:val="de-DE"/>
        </w:rPr>
        <w:br/>
        <w:t xml:space="preserve">  unsauberes Trinkwasser </w:t>
      </w:r>
      <w:r w:rsidRPr="0033479E">
        <w:rPr>
          <w:lang w:val="de-DE"/>
        </w:rPr>
        <w:t>übe</w:t>
      </w:r>
      <w:r w:rsidR="00912F6B">
        <w:rPr>
          <w:lang w:val="de-DE"/>
        </w:rPr>
        <w:t xml:space="preserve">rtragenen Krankheiten </w:t>
      </w:r>
      <w:r w:rsidR="00E0131A">
        <w:rPr>
          <w:lang w:val="de-DE"/>
        </w:rPr>
        <w:t>wird wegfallen</w:t>
      </w:r>
    </w:p>
    <w:p w:rsidR="0033479E" w:rsidRPr="0033479E" w:rsidRDefault="0033479E" w:rsidP="0033479E">
      <w:pPr>
        <w:rPr>
          <w:lang w:val="de-DE"/>
        </w:rPr>
      </w:pPr>
      <w:r w:rsidRPr="0033479E">
        <w:rPr>
          <w:lang w:val="de-DE"/>
        </w:rPr>
        <w:t xml:space="preserve">- </w:t>
      </w:r>
      <w:r w:rsidR="00331DEC">
        <w:rPr>
          <w:lang w:val="de-DE"/>
        </w:rPr>
        <w:t>d</w:t>
      </w:r>
      <w:r w:rsidRPr="0033479E">
        <w:rPr>
          <w:lang w:val="de-DE"/>
        </w:rPr>
        <w:t>ie Hygiene</w:t>
      </w:r>
      <w:r w:rsidR="00E0131A">
        <w:rPr>
          <w:lang w:val="de-DE"/>
        </w:rPr>
        <w:t>situation</w:t>
      </w:r>
      <w:r w:rsidRPr="0033479E">
        <w:rPr>
          <w:lang w:val="de-DE"/>
        </w:rPr>
        <w:t xml:space="preserve"> </w:t>
      </w:r>
      <w:r w:rsidR="00E0131A">
        <w:rPr>
          <w:lang w:val="de-DE"/>
        </w:rPr>
        <w:t>für die Schülerinnen und Schüler</w:t>
      </w:r>
      <w:r w:rsidRPr="0033479E">
        <w:rPr>
          <w:lang w:val="de-DE"/>
        </w:rPr>
        <w:t xml:space="preserve"> wird verbess</w:t>
      </w:r>
      <w:r w:rsidR="00912F6B">
        <w:rPr>
          <w:lang w:val="de-DE"/>
        </w:rPr>
        <w:t>ert</w:t>
      </w:r>
    </w:p>
    <w:p w:rsidR="0033479E" w:rsidRPr="0033479E" w:rsidRDefault="00912F6B" w:rsidP="0033479E">
      <w:pPr>
        <w:rPr>
          <w:lang w:val="de-DE"/>
        </w:rPr>
      </w:pPr>
      <w:r>
        <w:rPr>
          <w:lang w:val="de-DE"/>
        </w:rPr>
        <w:t xml:space="preserve">- </w:t>
      </w:r>
      <w:r w:rsidR="00331DEC">
        <w:rPr>
          <w:lang w:val="de-DE"/>
        </w:rPr>
        <w:t>d</w:t>
      </w:r>
      <w:r>
        <w:rPr>
          <w:lang w:val="de-DE"/>
        </w:rPr>
        <w:t xml:space="preserve">ie Zahl der Kinder, die in die Schule </w:t>
      </w:r>
      <w:r w:rsidR="0033479E" w:rsidRPr="0033479E">
        <w:rPr>
          <w:lang w:val="de-DE"/>
        </w:rPr>
        <w:t>auf</w:t>
      </w:r>
      <w:r>
        <w:rPr>
          <w:lang w:val="de-DE"/>
        </w:rPr>
        <w:t>genom</w:t>
      </w:r>
      <w:r w:rsidR="0033479E" w:rsidRPr="0033479E">
        <w:rPr>
          <w:lang w:val="de-DE"/>
        </w:rPr>
        <w:t>men</w:t>
      </w:r>
      <w:r>
        <w:rPr>
          <w:lang w:val="de-DE"/>
        </w:rPr>
        <w:t xml:space="preserve"> werden</w:t>
      </w:r>
      <w:r w:rsidR="0033479E" w:rsidRPr="0033479E">
        <w:rPr>
          <w:lang w:val="de-DE"/>
        </w:rPr>
        <w:t xml:space="preserve">, wird </w:t>
      </w:r>
      <w:r w:rsidR="00E0131A">
        <w:rPr>
          <w:lang w:val="de-DE"/>
        </w:rPr>
        <w:t>sich erhöhen</w:t>
      </w:r>
    </w:p>
    <w:p w:rsidR="0033479E" w:rsidRPr="0033479E" w:rsidRDefault="0033479E" w:rsidP="0033479E">
      <w:pPr>
        <w:rPr>
          <w:lang w:val="de-DE"/>
        </w:rPr>
      </w:pPr>
    </w:p>
    <w:p w:rsidR="0033479E" w:rsidRPr="00DF5A4A" w:rsidRDefault="006B57EB" w:rsidP="0033479E">
      <w:pPr>
        <w:rPr>
          <w:b/>
          <w:lang w:val="de-DE"/>
        </w:rPr>
      </w:pPr>
      <w:r>
        <w:rPr>
          <w:b/>
          <w:lang w:val="de-DE"/>
        </w:rPr>
        <w:t xml:space="preserve">Erwartete </w:t>
      </w:r>
      <w:r w:rsidR="0033479E" w:rsidRPr="00DF5A4A">
        <w:rPr>
          <w:b/>
          <w:lang w:val="de-DE"/>
        </w:rPr>
        <w:t>Ergebnisse des Projekts</w:t>
      </w:r>
      <w:r w:rsidR="00F937E1">
        <w:rPr>
          <w:b/>
          <w:lang w:val="de-DE"/>
        </w:rPr>
        <w:t xml:space="preserve"> nach Fertigstellung:</w:t>
      </w:r>
    </w:p>
    <w:p w:rsidR="0033479E" w:rsidRPr="0033479E" w:rsidRDefault="0033479E" w:rsidP="0033479E">
      <w:pPr>
        <w:rPr>
          <w:lang w:val="de-DE"/>
        </w:rPr>
      </w:pPr>
      <w:r w:rsidRPr="0033479E">
        <w:rPr>
          <w:lang w:val="de-DE"/>
        </w:rPr>
        <w:t>- Der Trinkwasserbrunnen ist gebaut,</w:t>
      </w:r>
    </w:p>
    <w:p w:rsidR="0033479E" w:rsidRPr="0033479E" w:rsidRDefault="0033479E" w:rsidP="0033479E">
      <w:pPr>
        <w:rPr>
          <w:lang w:val="de-DE"/>
        </w:rPr>
      </w:pPr>
      <w:r w:rsidRPr="0033479E">
        <w:rPr>
          <w:lang w:val="de-DE"/>
        </w:rPr>
        <w:t>- Es werden drei Wasser</w:t>
      </w:r>
      <w:r w:rsidR="006B57EB">
        <w:rPr>
          <w:lang w:val="de-DE"/>
        </w:rPr>
        <w:t>ausgabe</w:t>
      </w:r>
      <w:r w:rsidRPr="0033479E">
        <w:rPr>
          <w:lang w:val="de-DE"/>
        </w:rPr>
        <w:t xml:space="preserve">stellen </w:t>
      </w:r>
      <w:r w:rsidR="00912F6B">
        <w:rPr>
          <w:lang w:val="de-DE"/>
        </w:rPr>
        <w:t xml:space="preserve">angelegt, eine </w:t>
      </w:r>
      <w:r w:rsidRPr="0033479E">
        <w:rPr>
          <w:lang w:val="de-DE"/>
        </w:rPr>
        <w:t>für K</w:t>
      </w:r>
      <w:r w:rsidR="00912F6B">
        <w:rPr>
          <w:lang w:val="de-DE"/>
        </w:rPr>
        <w:t>indergartenk</w:t>
      </w:r>
      <w:r w:rsidRPr="0033479E">
        <w:rPr>
          <w:lang w:val="de-DE"/>
        </w:rPr>
        <w:t xml:space="preserve">inder, eine für </w:t>
      </w:r>
      <w:r w:rsidR="00331DEC">
        <w:rPr>
          <w:lang w:val="de-DE"/>
        </w:rPr>
        <w:t xml:space="preserve"> </w:t>
      </w:r>
      <w:r w:rsidR="00331DEC">
        <w:rPr>
          <w:lang w:val="de-DE"/>
        </w:rPr>
        <w:br/>
        <w:t xml:space="preserve">  </w:t>
      </w:r>
      <w:r w:rsidRPr="0033479E">
        <w:rPr>
          <w:lang w:val="de-DE"/>
        </w:rPr>
        <w:t>Grundschulkinder und die dritte für</w:t>
      </w:r>
      <w:r w:rsidR="00912F6B">
        <w:rPr>
          <w:lang w:val="de-DE"/>
        </w:rPr>
        <w:t xml:space="preserve"> die Gemeinschaft</w:t>
      </w:r>
    </w:p>
    <w:p w:rsidR="006B57EB" w:rsidRPr="00EC3692" w:rsidRDefault="00912F6B" w:rsidP="0033479E">
      <w:pPr>
        <w:rPr>
          <w:lang w:val="de-DE"/>
        </w:rPr>
      </w:pPr>
      <w:r>
        <w:rPr>
          <w:lang w:val="de-DE"/>
        </w:rPr>
        <w:t>- Ein 5000-Liter-Tank</w:t>
      </w:r>
      <w:r w:rsidR="0033479E" w:rsidRPr="0033479E">
        <w:rPr>
          <w:lang w:val="de-DE"/>
        </w:rPr>
        <w:t xml:space="preserve"> </w:t>
      </w:r>
      <w:r>
        <w:rPr>
          <w:lang w:val="de-DE"/>
        </w:rPr>
        <w:t>ist vorhanden, um Wasser zu speicher</w:t>
      </w:r>
      <w:r w:rsidR="0033479E" w:rsidRPr="0033479E">
        <w:rPr>
          <w:lang w:val="de-DE"/>
        </w:rPr>
        <w:t>n</w:t>
      </w:r>
    </w:p>
    <w:p w:rsidR="0033479E" w:rsidRPr="00912F6B" w:rsidRDefault="0033479E" w:rsidP="0033479E">
      <w:pPr>
        <w:rPr>
          <w:b/>
          <w:lang w:val="de-DE"/>
        </w:rPr>
      </w:pPr>
      <w:r w:rsidRPr="00912F6B">
        <w:rPr>
          <w:b/>
          <w:lang w:val="de-DE"/>
        </w:rPr>
        <w:t>Hauptprojektaktivitäten</w:t>
      </w:r>
      <w:r w:rsidR="00F937E1">
        <w:rPr>
          <w:b/>
          <w:lang w:val="de-DE"/>
        </w:rPr>
        <w:t>:</w:t>
      </w:r>
    </w:p>
    <w:p w:rsidR="0033479E" w:rsidRPr="0033479E" w:rsidRDefault="000F0793" w:rsidP="0033479E">
      <w:pPr>
        <w:rPr>
          <w:lang w:val="de-DE"/>
        </w:rPr>
      </w:pPr>
      <w:r>
        <w:rPr>
          <w:lang w:val="de-DE"/>
        </w:rPr>
        <w:t xml:space="preserve">- Ausgraben eines </w:t>
      </w:r>
      <w:r w:rsidR="0033479E" w:rsidRPr="0033479E">
        <w:rPr>
          <w:lang w:val="de-DE"/>
        </w:rPr>
        <w:t xml:space="preserve"> Brunnen</w:t>
      </w:r>
      <w:r>
        <w:rPr>
          <w:lang w:val="de-DE"/>
        </w:rPr>
        <w:t>s</w:t>
      </w:r>
      <w:r w:rsidR="006B57EB">
        <w:rPr>
          <w:lang w:val="de-DE"/>
        </w:rPr>
        <w:br/>
      </w:r>
      <w:r w:rsidR="0033479E" w:rsidRPr="0033479E">
        <w:rPr>
          <w:lang w:val="de-DE"/>
        </w:rPr>
        <w:t>- Bau von zwei Wasser</w:t>
      </w:r>
      <w:r w:rsidR="00F937E1">
        <w:rPr>
          <w:lang w:val="de-DE"/>
        </w:rPr>
        <w:t xml:space="preserve">ausgabe </w:t>
      </w:r>
      <w:r w:rsidR="0033479E" w:rsidRPr="0033479E">
        <w:rPr>
          <w:lang w:val="de-DE"/>
        </w:rPr>
        <w:t>stellen für K</w:t>
      </w:r>
      <w:r>
        <w:rPr>
          <w:lang w:val="de-DE"/>
        </w:rPr>
        <w:t>indergarten</w:t>
      </w:r>
      <w:r w:rsidR="0033479E" w:rsidRPr="0033479E">
        <w:rPr>
          <w:lang w:val="de-DE"/>
        </w:rPr>
        <w:t>, Primär- und Gemeinde</w:t>
      </w:r>
      <w:r>
        <w:rPr>
          <w:lang w:val="de-DE"/>
        </w:rPr>
        <w:t>einrichtungen</w:t>
      </w:r>
      <w:r w:rsidR="006B57EB">
        <w:rPr>
          <w:lang w:val="de-DE"/>
        </w:rPr>
        <w:br/>
      </w:r>
      <w:r w:rsidR="0033479E" w:rsidRPr="0033479E">
        <w:rPr>
          <w:lang w:val="de-DE"/>
        </w:rPr>
        <w:t>- Aufbau eines Reservoirständers</w:t>
      </w:r>
      <w:r w:rsidR="006B57EB">
        <w:rPr>
          <w:lang w:val="de-DE"/>
        </w:rPr>
        <w:br/>
      </w:r>
      <w:r>
        <w:rPr>
          <w:lang w:val="de-DE"/>
        </w:rPr>
        <w:t xml:space="preserve">- Einkauf und Bereitstellung eines </w:t>
      </w:r>
      <w:r w:rsidR="0033479E" w:rsidRPr="0033479E">
        <w:rPr>
          <w:lang w:val="de-DE"/>
        </w:rPr>
        <w:t xml:space="preserve"> </w:t>
      </w:r>
      <w:r>
        <w:rPr>
          <w:lang w:val="de-DE"/>
        </w:rPr>
        <w:t>Wassertanks mit 5000-Liter</w:t>
      </w:r>
      <w:r w:rsidRPr="000F0793">
        <w:rPr>
          <w:lang w:val="de-DE"/>
        </w:rPr>
        <w:t xml:space="preserve"> </w:t>
      </w:r>
      <w:r w:rsidRPr="0033479E">
        <w:rPr>
          <w:lang w:val="de-DE"/>
        </w:rPr>
        <w:t xml:space="preserve">Kapazität </w:t>
      </w:r>
      <w:r w:rsidR="006B57EB">
        <w:rPr>
          <w:lang w:val="de-DE"/>
        </w:rPr>
        <w:br/>
      </w:r>
      <w:r>
        <w:rPr>
          <w:lang w:val="de-DE"/>
        </w:rPr>
        <w:t xml:space="preserve">- Kauf </w:t>
      </w:r>
      <w:r w:rsidR="0033479E" w:rsidRPr="0033479E">
        <w:rPr>
          <w:lang w:val="de-DE"/>
        </w:rPr>
        <w:t>eine</w:t>
      </w:r>
      <w:r>
        <w:rPr>
          <w:lang w:val="de-DE"/>
        </w:rPr>
        <w:t>r</w:t>
      </w:r>
      <w:r w:rsidR="0033479E" w:rsidRPr="0033479E">
        <w:rPr>
          <w:lang w:val="de-DE"/>
        </w:rPr>
        <w:t xml:space="preserve"> Tauchpumpe und eine</w:t>
      </w:r>
      <w:r w:rsidR="00F937E1">
        <w:rPr>
          <w:lang w:val="de-DE"/>
        </w:rPr>
        <w:t>r</w:t>
      </w:r>
      <w:r w:rsidR="0033479E" w:rsidRPr="0033479E">
        <w:rPr>
          <w:lang w:val="de-DE"/>
        </w:rPr>
        <w:t xml:space="preserve"> Schaltplatine, die mit der verfügbaren Stromversorgung arbeitet</w:t>
      </w:r>
      <w:r w:rsidR="006B57EB">
        <w:rPr>
          <w:lang w:val="de-DE"/>
        </w:rPr>
        <w:br/>
      </w:r>
      <w:r w:rsidR="0033479E" w:rsidRPr="0033479E">
        <w:rPr>
          <w:lang w:val="de-DE"/>
        </w:rPr>
        <w:t>- Einrichtung des WASH-Clubs in de</w:t>
      </w:r>
      <w:r>
        <w:rPr>
          <w:lang w:val="de-DE"/>
        </w:rPr>
        <w:t>r Schule</w:t>
      </w:r>
      <w:r w:rsidR="006B57EB">
        <w:rPr>
          <w:lang w:val="de-DE"/>
        </w:rPr>
        <w:br/>
      </w:r>
      <w:r w:rsidR="0033479E" w:rsidRPr="0033479E">
        <w:rPr>
          <w:lang w:val="de-DE"/>
        </w:rPr>
        <w:t xml:space="preserve">- Organisation von Schulungen für Schulpersonal, Mitglieder des WASH-Clubs und Wasserausschuss </w:t>
      </w:r>
      <w:r w:rsidR="006B57EB">
        <w:rPr>
          <w:lang w:val="de-DE"/>
        </w:rPr>
        <w:br/>
        <w:t xml:space="preserve">  </w:t>
      </w:r>
      <w:r w:rsidR="0033479E" w:rsidRPr="0033479E">
        <w:rPr>
          <w:lang w:val="de-DE"/>
        </w:rPr>
        <w:t>der Gemeinde,</w:t>
      </w:r>
      <w:r w:rsidR="006B57EB">
        <w:rPr>
          <w:lang w:val="de-DE"/>
        </w:rPr>
        <w:br/>
      </w:r>
      <w:r w:rsidR="0033479E" w:rsidRPr="0033479E">
        <w:rPr>
          <w:lang w:val="de-DE"/>
        </w:rPr>
        <w:t>- Follow-up und Berichterstattung über die Projektumsetzung</w:t>
      </w:r>
      <w:r w:rsidR="006B57EB">
        <w:rPr>
          <w:lang w:val="de-DE"/>
        </w:rPr>
        <w:br/>
      </w:r>
      <w:r w:rsidR="0033479E" w:rsidRPr="0033479E">
        <w:rPr>
          <w:lang w:val="de-DE"/>
        </w:rPr>
        <w:t>- Überwachung und Bewertung der Projektaktivitäten- Bereitstellung von Wartungswerkzeugen</w:t>
      </w:r>
    </w:p>
    <w:p w:rsidR="00DF5A4A" w:rsidRDefault="0033479E" w:rsidP="0033479E">
      <w:pPr>
        <w:rPr>
          <w:b/>
          <w:lang w:val="de-DE"/>
        </w:rPr>
      </w:pPr>
      <w:r w:rsidRPr="00DF5A4A">
        <w:rPr>
          <w:b/>
          <w:lang w:val="de-DE"/>
        </w:rPr>
        <w:t>Nachhaltigkeit des Projekts</w:t>
      </w:r>
      <w:r w:rsidR="006B57EB">
        <w:rPr>
          <w:b/>
          <w:lang w:val="de-DE"/>
        </w:rPr>
        <w:t xml:space="preserve">. </w:t>
      </w:r>
      <w:r w:rsidRPr="0033479E">
        <w:rPr>
          <w:lang w:val="de-DE"/>
        </w:rPr>
        <w:t>In den letzten 28 Jahren wurde die Schule v</w:t>
      </w:r>
      <w:r w:rsidR="000F0793">
        <w:rPr>
          <w:lang w:val="de-DE"/>
        </w:rPr>
        <w:t>on der Kirche verwaltet, die das</w:t>
      </w:r>
      <w:r w:rsidRPr="0033479E">
        <w:rPr>
          <w:lang w:val="de-DE"/>
        </w:rPr>
        <w:t xml:space="preserve"> Schulgebäude errichtete, Administr</w:t>
      </w:r>
      <w:r w:rsidR="000F0793">
        <w:rPr>
          <w:lang w:val="de-DE"/>
        </w:rPr>
        <w:t>atoren zuordnete, Lehrer</w:t>
      </w:r>
      <w:r w:rsidR="00F937E1">
        <w:rPr>
          <w:lang w:val="de-DE"/>
        </w:rPr>
        <w:t xml:space="preserve">Innen </w:t>
      </w:r>
      <w:r w:rsidR="000F0793">
        <w:rPr>
          <w:lang w:val="de-DE"/>
        </w:rPr>
        <w:t xml:space="preserve">und </w:t>
      </w:r>
      <w:r w:rsidR="000F0793" w:rsidRPr="0033479E">
        <w:rPr>
          <w:lang w:val="de-DE"/>
        </w:rPr>
        <w:t xml:space="preserve">andere Hilfskräfte </w:t>
      </w:r>
      <w:r w:rsidR="000F0793">
        <w:rPr>
          <w:lang w:val="de-DE"/>
        </w:rPr>
        <w:t>einstellte</w:t>
      </w:r>
      <w:r w:rsidRPr="0033479E">
        <w:rPr>
          <w:lang w:val="de-DE"/>
        </w:rPr>
        <w:t xml:space="preserve"> und </w:t>
      </w:r>
      <w:r w:rsidR="000F0793" w:rsidRPr="0033479E">
        <w:rPr>
          <w:lang w:val="de-DE"/>
        </w:rPr>
        <w:t xml:space="preserve">Schuleinrichtungen </w:t>
      </w:r>
      <w:r w:rsidR="000F0793">
        <w:rPr>
          <w:lang w:val="de-DE"/>
        </w:rPr>
        <w:t>b</w:t>
      </w:r>
      <w:r w:rsidRPr="0033479E">
        <w:rPr>
          <w:lang w:val="de-DE"/>
        </w:rPr>
        <w:t>ereitste</w:t>
      </w:r>
      <w:r w:rsidR="000F0793">
        <w:rPr>
          <w:lang w:val="de-DE"/>
        </w:rPr>
        <w:t>llte</w:t>
      </w:r>
      <w:r w:rsidRPr="0033479E">
        <w:rPr>
          <w:lang w:val="de-DE"/>
        </w:rPr>
        <w:t xml:space="preserve">. Es wird ein Schulwasserkomitee gebildet, das sich aus Eltern und Lehrpersonal zusammensetzt. Die Kirche wird die Verantwortung dafür übernehmen, dass das Projekt nachhaltig bleibt. Außerdem wird </w:t>
      </w:r>
      <w:r w:rsidR="006B57EB">
        <w:rPr>
          <w:lang w:val="de-DE"/>
        </w:rPr>
        <w:t>ein</w:t>
      </w:r>
      <w:r w:rsidRPr="0033479E">
        <w:rPr>
          <w:lang w:val="de-DE"/>
        </w:rPr>
        <w:t xml:space="preserve"> WASH-Club </w:t>
      </w:r>
      <w:r w:rsidR="00F937E1">
        <w:rPr>
          <w:lang w:val="de-DE"/>
        </w:rPr>
        <w:t xml:space="preserve">an der Schule gegründet, um </w:t>
      </w:r>
      <w:r w:rsidR="006B57EB">
        <w:rPr>
          <w:lang w:val="de-DE"/>
        </w:rPr>
        <w:t xml:space="preserve">das Funktionieren der neuen Wasserversorgung </w:t>
      </w:r>
      <w:r w:rsidRPr="0033479E">
        <w:rPr>
          <w:lang w:val="de-DE"/>
        </w:rPr>
        <w:t xml:space="preserve">der Schule zu </w:t>
      </w:r>
      <w:r w:rsidR="006B57EB">
        <w:rPr>
          <w:lang w:val="de-DE"/>
        </w:rPr>
        <w:t>gewährleisten</w:t>
      </w:r>
      <w:r w:rsidRPr="0033479E">
        <w:rPr>
          <w:lang w:val="de-DE"/>
        </w:rPr>
        <w:t xml:space="preserve">. Den Ausschussmitgliedern wird eine Orientierungshilfe gegeben, um die Wartung der </w:t>
      </w:r>
      <w:r w:rsidR="006B57EB">
        <w:rPr>
          <w:lang w:val="de-DE"/>
        </w:rPr>
        <w:t xml:space="preserve">Wasserversorgung </w:t>
      </w:r>
      <w:r w:rsidRPr="0033479E">
        <w:rPr>
          <w:lang w:val="de-DE"/>
        </w:rPr>
        <w:t xml:space="preserve"> </w:t>
      </w:r>
      <w:r w:rsidR="006B57EB">
        <w:rPr>
          <w:lang w:val="de-DE"/>
        </w:rPr>
        <w:t>optimal umsetzen zu können</w:t>
      </w:r>
      <w:r w:rsidRPr="0033479E">
        <w:rPr>
          <w:lang w:val="de-DE"/>
        </w:rPr>
        <w:t>.</w:t>
      </w:r>
    </w:p>
    <w:p w:rsidR="006B57EB" w:rsidRDefault="0033479E" w:rsidP="0033479E">
      <w:pPr>
        <w:rPr>
          <w:lang w:val="de-DE"/>
        </w:rPr>
      </w:pPr>
      <w:r w:rsidRPr="00DF5A4A">
        <w:rPr>
          <w:b/>
          <w:lang w:val="de-DE"/>
        </w:rPr>
        <w:t>Projektteam</w:t>
      </w:r>
      <w:r w:rsidR="00F937E1">
        <w:rPr>
          <w:b/>
          <w:lang w:val="de-DE"/>
        </w:rPr>
        <w:t xml:space="preserve">. </w:t>
      </w:r>
      <w:r w:rsidRPr="0033479E">
        <w:rPr>
          <w:lang w:val="de-DE"/>
        </w:rPr>
        <w:t>Das Projekt wird technisch vom Ausbildungskoordinator, Bauingenieur und WASH-Beauftragten der ECC-SDCO betreut. Der Bauingenieur und der WASH-Beauftragte erstellen eine Stückliste, Angebotsunterlagen und einen Zeitplan für die Projektdurchführung. Das Team wird die Projektumsetzung aufmerksam verfolgen und periodische Berichte an die Stakeholder erstellen. Der Schulleiter und die PTA-Mitglieder sind nach Bedarf für die Mobilisierung der Gemeinde verantwortlich.</w:t>
      </w:r>
    </w:p>
    <w:p w:rsidR="0033479E" w:rsidRPr="006B57EB" w:rsidRDefault="0033479E" w:rsidP="0033479E">
      <w:pPr>
        <w:rPr>
          <w:b/>
          <w:lang w:val="de-DE"/>
        </w:rPr>
      </w:pPr>
    </w:p>
    <w:p w:rsidR="00DF5A4A" w:rsidRPr="001A558C" w:rsidRDefault="00DF5A4A" w:rsidP="00DF5A4A">
      <w:pPr>
        <w:rPr>
          <w:b/>
          <w:sz w:val="28"/>
          <w:lang w:val="de-DE"/>
        </w:rPr>
      </w:pPr>
      <w:r w:rsidRPr="001A558C">
        <w:rPr>
          <w:b/>
          <w:sz w:val="28"/>
          <w:lang w:val="de-DE"/>
        </w:rPr>
        <w:t>Interventionslogik</w:t>
      </w:r>
    </w:p>
    <w:p w:rsidR="00DF5A4A" w:rsidRPr="001A558C" w:rsidRDefault="00DF5A4A" w:rsidP="00DF5A4A">
      <w:pPr>
        <w:rPr>
          <w:b/>
          <w:lang w:val="de-DE"/>
        </w:rPr>
      </w:pPr>
      <w:r w:rsidRPr="001A558C">
        <w:rPr>
          <w:b/>
          <w:lang w:val="de-DE"/>
        </w:rPr>
        <w:t>Gesamtziel: Auswirkungen</w:t>
      </w:r>
    </w:p>
    <w:p w:rsidR="00DF5A4A" w:rsidRPr="00DF5A4A" w:rsidRDefault="00DF5A4A" w:rsidP="00DF5A4A">
      <w:pPr>
        <w:rPr>
          <w:lang w:val="de-DE"/>
        </w:rPr>
      </w:pPr>
      <w:r w:rsidRPr="00DF5A4A">
        <w:rPr>
          <w:lang w:val="de-DE"/>
        </w:rPr>
        <w:t>Ziel dieses Projekts ist es, Zugang zu Trinkwasser für die Mi</w:t>
      </w:r>
      <w:r w:rsidR="006B57EB">
        <w:rPr>
          <w:lang w:val="de-DE"/>
        </w:rPr>
        <w:t>q</w:t>
      </w:r>
      <w:r w:rsidRPr="00DF5A4A">
        <w:rPr>
          <w:lang w:val="de-DE"/>
        </w:rPr>
        <w:t>e Catholic K</w:t>
      </w:r>
      <w:r w:rsidR="001A558C">
        <w:rPr>
          <w:lang w:val="de-DE"/>
        </w:rPr>
        <w:t>indergarten</w:t>
      </w:r>
      <w:r w:rsidRPr="00DF5A4A">
        <w:rPr>
          <w:lang w:val="de-DE"/>
        </w:rPr>
        <w:t xml:space="preserve"> </w:t>
      </w:r>
      <w:r w:rsidR="001A558C">
        <w:rPr>
          <w:lang w:val="de-DE"/>
        </w:rPr>
        <w:t xml:space="preserve">und </w:t>
      </w:r>
      <w:r w:rsidRPr="00DF5A4A">
        <w:rPr>
          <w:lang w:val="de-DE"/>
        </w:rPr>
        <w:t xml:space="preserve">Grundschulkinder zu schaffen und das Wasserproblem der Schule zu </w:t>
      </w:r>
      <w:r w:rsidR="006B57EB">
        <w:rPr>
          <w:lang w:val="de-DE"/>
        </w:rPr>
        <w:t>lösen</w:t>
      </w:r>
      <w:r w:rsidRPr="00DF5A4A">
        <w:rPr>
          <w:lang w:val="de-DE"/>
        </w:rPr>
        <w:t>.</w:t>
      </w:r>
    </w:p>
    <w:p w:rsidR="00DF5A4A" w:rsidRPr="00DF5A4A" w:rsidRDefault="00DF5A4A" w:rsidP="00DF5A4A">
      <w:pPr>
        <w:rPr>
          <w:lang w:val="de-DE"/>
        </w:rPr>
      </w:pPr>
      <w:r w:rsidRPr="00DF5A4A">
        <w:rPr>
          <w:lang w:val="de-DE"/>
        </w:rPr>
        <w:t>Der Zugang zu Trinkwasser für diese Schulkinder- und Projektstandortgemeinschaft hat eine direkte Verbindung zum globalen Entwicklungsziel</w:t>
      </w:r>
      <w:r w:rsidR="00F937E1">
        <w:rPr>
          <w:lang w:val="de-DE"/>
        </w:rPr>
        <w:t xml:space="preserve"> „Sauberes Trinkwasser für alle“</w:t>
      </w:r>
      <w:r w:rsidRPr="00DF5A4A">
        <w:rPr>
          <w:lang w:val="de-DE"/>
        </w:rPr>
        <w:t xml:space="preserve">. Mit diesem Projekt </w:t>
      </w:r>
      <w:r w:rsidR="006B57EB">
        <w:rPr>
          <w:lang w:val="de-DE"/>
        </w:rPr>
        <w:t>erhalten</w:t>
      </w:r>
      <w:r w:rsidRPr="00DF5A4A">
        <w:rPr>
          <w:lang w:val="de-DE"/>
        </w:rPr>
        <w:t xml:space="preserve"> mehr als 1.300 Personen direkt</w:t>
      </w:r>
      <w:r w:rsidR="006B57EB">
        <w:rPr>
          <w:lang w:val="de-DE"/>
        </w:rPr>
        <w:t>en Zugang zu sauberem Trinkwasser.</w:t>
      </w:r>
      <w:r w:rsidRPr="00DF5A4A">
        <w:rPr>
          <w:lang w:val="de-DE"/>
        </w:rPr>
        <w:t>.</w:t>
      </w:r>
    </w:p>
    <w:p w:rsidR="00DF5A4A" w:rsidRPr="002A72C8" w:rsidRDefault="006B57EB" w:rsidP="00DF5A4A">
      <w:pPr>
        <w:rPr>
          <w:b/>
          <w:lang w:val="de-DE"/>
        </w:rPr>
      </w:pPr>
      <w:r>
        <w:rPr>
          <w:b/>
          <w:lang w:val="de-DE"/>
        </w:rPr>
        <w:t>Projektausgaben</w:t>
      </w:r>
    </w:p>
    <w:p w:rsidR="00DF5A4A" w:rsidRPr="00DF5A4A" w:rsidRDefault="00DF5A4A" w:rsidP="00DF5A4A">
      <w:pPr>
        <w:rPr>
          <w:lang w:val="de-DE"/>
        </w:rPr>
      </w:pPr>
      <w:r w:rsidRPr="00DF5A4A">
        <w:rPr>
          <w:lang w:val="de-DE"/>
        </w:rPr>
        <w:t xml:space="preserve">- </w:t>
      </w:r>
      <w:r w:rsidR="002A72C8">
        <w:rPr>
          <w:lang w:val="de-DE"/>
        </w:rPr>
        <w:t>Bohrung</w:t>
      </w:r>
      <w:r w:rsidRPr="00DF5A4A">
        <w:rPr>
          <w:lang w:val="de-DE"/>
        </w:rPr>
        <w:t xml:space="preserve"> </w:t>
      </w:r>
      <w:r w:rsidR="006B57EB">
        <w:rPr>
          <w:lang w:val="de-DE"/>
        </w:rPr>
        <w:t>eines</w:t>
      </w:r>
      <w:r w:rsidRPr="00DF5A4A">
        <w:rPr>
          <w:lang w:val="de-DE"/>
        </w:rPr>
        <w:t xml:space="preserve"> </w:t>
      </w:r>
      <w:r w:rsidR="006B57EB">
        <w:rPr>
          <w:lang w:val="de-DE"/>
        </w:rPr>
        <w:t>Brunnens</w:t>
      </w:r>
    </w:p>
    <w:p w:rsidR="00DF5A4A" w:rsidRPr="00DF5A4A" w:rsidRDefault="00DF5A4A" w:rsidP="00DF5A4A">
      <w:pPr>
        <w:rPr>
          <w:lang w:val="de-DE"/>
        </w:rPr>
      </w:pPr>
      <w:r w:rsidRPr="00DF5A4A">
        <w:rPr>
          <w:lang w:val="de-DE"/>
        </w:rPr>
        <w:t xml:space="preserve">- </w:t>
      </w:r>
      <w:r w:rsidR="006B57EB">
        <w:rPr>
          <w:lang w:val="de-DE"/>
        </w:rPr>
        <w:t xml:space="preserve">Bau von </w:t>
      </w:r>
      <w:r w:rsidRPr="00DF5A4A">
        <w:rPr>
          <w:lang w:val="de-DE"/>
        </w:rPr>
        <w:t>zwei Wasser</w:t>
      </w:r>
      <w:r w:rsidR="006B57EB">
        <w:rPr>
          <w:lang w:val="de-DE"/>
        </w:rPr>
        <w:t>ausgabe</w:t>
      </w:r>
      <w:r w:rsidRPr="00DF5A4A">
        <w:rPr>
          <w:lang w:val="de-DE"/>
        </w:rPr>
        <w:t xml:space="preserve">stellen mit je sechs </w:t>
      </w:r>
      <w:r w:rsidR="006B57EB">
        <w:rPr>
          <w:lang w:val="de-DE"/>
        </w:rPr>
        <w:t>Wasserhähnen</w:t>
      </w:r>
    </w:p>
    <w:p w:rsidR="00DF5A4A" w:rsidRPr="00DF5A4A" w:rsidRDefault="002A72C8" w:rsidP="00DF5A4A">
      <w:pPr>
        <w:rPr>
          <w:lang w:val="de-DE"/>
        </w:rPr>
      </w:pPr>
      <w:r>
        <w:rPr>
          <w:lang w:val="de-DE"/>
        </w:rPr>
        <w:t>- Bau eines</w:t>
      </w:r>
      <w:r w:rsidR="00DF5A4A" w:rsidRPr="00DF5A4A">
        <w:rPr>
          <w:lang w:val="de-DE"/>
        </w:rPr>
        <w:t xml:space="preserve"> drei Meter </w:t>
      </w:r>
      <w:r w:rsidR="006B57EB">
        <w:rPr>
          <w:lang w:val="de-DE"/>
        </w:rPr>
        <w:t>hohen Gerüstes</w:t>
      </w:r>
      <w:r>
        <w:rPr>
          <w:lang w:val="de-DE"/>
        </w:rPr>
        <w:t xml:space="preserve"> für </w:t>
      </w:r>
      <w:r w:rsidR="006B57EB">
        <w:rPr>
          <w:lang w:val="de-DE"/>
        </w:rPr>
        <w:t xml:space="preserve">den </w:t>
      </w:r>
      <w:r>
        <w:rPr>
          <w:lang w:val="de-DE"/>
        </w:rPr>
        <w:t>Wassertank</w:t>
      </w:r>
    </w:p>
    <w:p w:rsidR="00DF5A4A" w:rsidRPr="00DF5A4A" w:rsidRDefault="002A72C8" w:rsidP="00DF5A4A">
      <w:pPr>
        <w:rPr>
          <w:lang w:val="de-DE"/>
        </w:rPr>
      </w:pPr>
      <w:r>
        <w:rPr>
          <w:lang w:val="de-DE"/>
        </w:rPr>
        <w:t>- 5000 Liter Tank,</w:t>
      </w:r>
      <w:r w:rsidR="00DF5A4A" w:rsidRPr="00DF5A4A">
        <w:rPr>
          <w:lang w:val="de-DE"/>
        </w:rPr>
        <w:t xml:space="preserve"> u</w:t>
      </w:r>
      <w:r>
        <w:rPr>
          <w:lang w:val="de-DE"/>
        </w:rPr>
        <w:t>m Wasser zu speichern</w:t>
      </w:r>
    </w:p>
    <w:p w:rsidR="00DF5A4A" w:rsidRPr="00DF5A4A" w:rsidRDefault="00DF5A4A" w:rsidP="00DF5A4A">
      <w:pPr>
        <w:rPr>
          <w:lang w:val="de-DE"/>
        </w:rPr>
      </w:pPr>
      <w:r w:rsidRPr="00DF5A4A">
        <w:rPr>
          <w:lang w:val="de-DE"/>
        </w:rPr>
        <w:t xml:space="preserve">- </w:t>
      </w:r>
      <w:r w:rsidR="006B57EB">
        <w:rPr>
          <w:lang w:val="de-DE"/>
        </w:rPr>
        <w:t>Bildung eines</w:t>
      </w:r>
      <w:r w:rsidRPr="00DF5A4A">
        <w:rPr>
          <w:lang w:val="de-DE"/>
        </w:rPr>
        <w:t xml:space="preserve"> </w:t>
      </w:r>
      <w:r w:rsidR="006B57EB">
        <w:rPr>
          <w:lang w:val="de-DE"/>
        </w:rPr>
        <w:t>Wasser</w:t>
      </w:r>
      <w:r w:rsidRPr="00DF5A4A">
        <w:rPr>
          <w:lang w:val="de-DE"/>
        </w:rPr>
        <w:t>-Komitee</w:t>
      </w:r>
      <w:r w:rsidR="006B57EB">
        <w:rPr>
          <w:lang w:val="de-DE"/>
        </w:rPr>
        <w:t>s</w:t>
      </w:r>
      <w:r w:rsidRPr="00DF5A4A">
        <w:rPr>
          <w:lang w:val="de-DE"/>
        </w:rPr>
        <w:t xml:space="preserve"> und </w:t>
      </w:r>
      <w:r w:rsidR="006B57EB">
        <w:rPr>
          <w:lang w:val="de-DE"/>
        </w:rPr>
        <w:t xml:space="preserve">Schulungen aller involvierter Personen </w:t>
      </w:r>
      <w:r w:rsidRPr="00DF5A4A">
        <w:rPr>
          <w:lang w:val="de-DE"/>
        </w:rPr>
        <w:t>in den Ber</w:t>
      </w:r>
      <w:r w:rsidR="002A72C8">
        <w:rPr>
          <w:lang w:val="de-DE"/>
        </w:rPr>
        <w:t xml:space="preserve">eichen Water Point Management, Sauberkeit </w:t>
      </w:r>
      <w:r w:rsidRPr="00DF5A4A">
        <w:rPr>
          <w:lang w:val="de-DE"/>
        </w:rPr>
        <w:t xml:space="preserve"> und Hygiene </w:t>
      </w:r>
    </w:p>
    <w:p w:rsidR="00DF5A4A" w:rsidRPr="00DF5A4A" w:rsidRDefault="00DF5A4A" w:rsidP="00DF5A4A">
      <w:pPr>
        <w:rPr>
          <w:lang w:val="de-DE"/>
        </w:rPr>
      </w:pPr>
      <w:r w:rsidRPr="00DF5A4A">
        <w:rPr>
          <w:lang w:val="de-DE"/>
        </w:rPr>
        <w:t>- Grundlegende Wartungsschulungen für Mitglieder des Wasserstellenausschusses</w:t>
      </w:r>
    </w:p>
    <w:p w:rsidR="00EC3692" w:rsidRPr="00F937E1" w:rsidRDefault="00DF5A4A" w:rsidP="002A72C8">
      <w:pPr>
        <w:rPr>
          <w:lang w:val="de-DE"/>
        </w:rPr>
      </w:pPr>
      <w:r w:rsidRPr="00DF5A4A">
        <w:rPr>
          <w:lang w:val="de-DE"/>
        </w:rPr>
        <w:t>- Für die Leiter der Schule und der Ausschüsse w</w:t>
      </w:r>
      <w:r w:rsidR="00805E6F">
        <w:rPr>
          <w:lang w:val="de-DE"/>
        </w:rPr>
        <w:t xml:space="preserve">ird eine </w:t>
      </w:r>
      <w:r w:rsidRPr="00DF5A4A">
        <w:rPr>
          <w:lang w:val="de-DE"/>
        </w:rPr>
        <w:t xml:space="preserve">grundlegende </w:t>
      </w:r>
      <w:r w:rsidR="00805E6F">
        <w:rPr>
          <w:lang w:val="de-DE"/>
        </w:rPr>
        <w:t>Infrastruktur</w:t>
      </w:r>
      <w:r w:rsidRPr="00DF5A4A">
        <w:rPr>
          <w:lang w:val="de-DE"/>
        </w:rPr>
        <w:t xml:space="preserve"> zur Aufrechterhaltung der Wasserstelle bereitgestellt.</w:t>
      </w:r>
      <w:r w:rsidR="00F937E1">
        <w:rPr>
          <w:lang w:val="de-DE"/>
        </w:rPr>
        <w:br/>
      </w:r>
    </w:p>
    <w:p w:rsidR="002A72C8" w:rsidRPr="00F937E1" w:rsidRDefault="002A72C8" w:rsidP="002A72C8">
      <w:pPr>
        <w:rPr>
          <w:b/>
          <w:sz w:val="28"/>
          <w:lang w:val="de-DE"/>
        </w:rPr>
      </w:pPr>
      <w:r w:rsidRPr="00F937E1">
        <w:rPr>
          <w:b/>
          <w:sz w:val="28"/>
          <w:lang w:val="de-DE"/>
        </w:rPr>
        <w:t>Aktivitäten (Indikatoren)</w:t>
      </w:r>
    </w:p>
    <w:p w:rsidR="002A72C8" w:rsidRPr="00EC3692" w:rsidRDefault="002A72C8" w:rsidP="002A72C8">
      <w:pPr>
        <w:rPr>
          <w:b/>
          <w:lang w:val="de-DE"/>
        </w:rPr>
      </w:pPr>
      <w:r w:rsidRPr="00EC3692">
        <w:rPr>
          <w:b/>
          <w:lang w:val="de-DE"/>
        </w:rPr>
        <w:t>Hauptprojektaktivitäten:</w:t>
      </w:r>
    </w:p>
    <w:p w:rsidR="002A72C8" w:rsidRPr="002A72C8" w:rsidRDefault="002A72C8" w:rsidP="002A72C8">
      <w:pPr>
        <w:rPr>
          <w:lang w:val="de-DE"/>
        </w:rPr>
      </w:pPr>
      <w:r w:rsidRPr="00805E6F">
        <w:rPr>
          <w:b/>
          <w:lang w:val="de-DE"/>
        </w:rPr>
        <w:t>Auswahl von Brunnen</w:t>
      </w:r>
      <w:r w:rsidR="00805E6F">
        <w:rPr>
          <w:b/>
          <w:lang w:val="de-DE"/>
        </w:rPr>
        <w:t>.</w:t>
      </w:r>
      <w:r w:rsidRPr="002A72C8">
        <w:rPr>
          <w:lang w:val="de-DE"/>
        </w:rPr>
        <w:t xml:space="preserve"> </w:t>
      </w:r>
      <w:r>
        <w:rPr>
          <w:lang w:val="de-DE"/>
        </w:rPr>
        <w:t>Der Standort</w:t>
      </w:r>
      <w:r w:rsidRPr="002A72C8">
        <w:rPr>
          <w:lang w:val="de-DE"/>
        </w:rPr>
        <w:t xml:space="preserve"> muss von Fachleuten ausgewählt werden. Die Experten für Wasser- und Bergwerksamt des Distrikts müssen an der Standortausw</w:t>
      </w:r>
      <w:r>
        <w:rPr>
          <w:lang w:val="de-DE"/>
        </w:rPr>
        <w:t>ahl mit externen Fachleuten zusammenarbeiten</w:t>
      </w:r>
      <w:r w:rsidRPr="002A72C8">
        <w:rPr>
          <w:lang w:val="de-DE"/>
        </w:rPr>
        <w:t xml:space="preserve">, die von der Durchführungsorganisation eingeladen werden. Außerdem müssen der Schulleiter, die Gemeindevertreter und unser WASH-Team bei der Standortauswahl </w:t>
      </w:r>
      <w:r w:rsidR="00805E6F">
        <w:rPr>
          <w:lang w:val="de-DE"/>
        </w:rPr>
        <w:t>mitwirken.</w:t>
      </w:r>
      <w:r w:rsidRPr="002A72C8">
        <w:rPr>
          <w:lang w:val="de-DE"/>
        </w:rPr>
        <w:t xml:space="preserve"> </w:t>
      </w:r>
    </w:p>
    <w:p w:rsidR="002A72C8" w:rsidRPr="002A72C8" w:rsidRDefault="002A72C8" w:rsidP="002A72C8">
      <w:pPr>
        <w:rPr>
          <w:lang w:val="de-DE"/>
        </w:rPr>
      </w:pPr>
      <w:r w:rsidRPr="00805E6F">
        <w:rPr>
          <w:b/>
          <w:lang w:val="de-DE"/>
        </w:rPr>
        <w:t>Angebotsprozess</w:t>
      </w:r>
      <w:r w:rsidR="00805E6F" w:rsidRPr="00805E6F">
        <w:rPr>
          <w:b/>
          <w:lang w:val="de-DE"/>
        </w:rPr>
        <w:t>.</w:t>
      </w:r>
      <w:r w:rsidR="00805E6F">
        <w:rPr>
          <w:lang w:val="de-DE"/>
        </w:rPr>
        <w:t xml:space="preserve"> </w:t>
      </w:r>
      <w:r w:rsidRPr="002A72C8">
        <w:rPr>
          <w:lang w:val="de-DE"/>
        </w:rPr>
        <w:t>Wichtige Angebotsunterlagen müssen vom Büroingenieur erstellt und für alle potenziellen Bieter öffentlich bekannt gegeben werden. Anhand der Ausschreibung müssen die Bieter ausgewählt und der Gewinner ermittelt werden. Dann wird eine vertragliche Vereinbarung zwischen der durchführenden Organisation und dem angegebenen Auftragnehmer getroffen.</w:t>
      </w:r>
    </w:p>
    <w:p w:rsidR="002A72C8" w:rsidRPr="002A72C8" w:rsidRDefault="000A1522" w:rsidP="002A72C8">
      <w:pPr>
        <w:rPr>
          <w:lang w:val="de-DE"/>
        </w:rPr>
      </w:pPr>
      <w:r w:rsidRPr="00805E6F">
        <w:rPr>
          <w:b/>
          <w:lang w:val="de-DE"/>
        </w:rPr>
        <w:t>Bohrung des Brunnens</w:t>
      </w:r>
      <w:r w:rsidR="00805E6F" w:rsidRPr="00805E6F">
        <w:rPr>
          <w:b/>
          <w:lang w:val="de-DE"/>
        </w:rPr>
        <w:t>.</w:t>
      </w:r>
      <w:r w:rsidR="00805E6F">
        <w:rPr>
          <w:lang w:val="de-DE"/>
        </w:rPr>
        <w:t xml:space="preserve"> </w:t>
      </w:r>
      <w:r w:rsidR="002A72C8" w:rsidRPr="002A72C8">
        <w:rPr>
          <w:lang w:val="de-DE"/>
        </w:rPr>
        <w:t>Gemäß der vertraglichen Vereinbarung m</w:t>
      </w:r>
      <w:r>
        <w:rPr>
          <w:lang w:val="de-DE"/>
        </w:rPr>
        <w:t xml:space="preserve">uss der Auftragnehmer den Brunnen </w:t>
      </w:r>
      <w:r w:rsidR="002A72C8" w:rsidRPr="002A72C8">
        <w:rPr>
          <w:lang w:val="de-DE"/>
        </w:rPr>
        <w:t xml:space="preserve"> nach vorgegebenen Spezifikationen bohren.</w:t>
      </w:r>
    </w:p>
    <w:p w:rsidR="00805E6F" w:rsidRDefault="002A72C8" w:rsidP="00805E6F">
      <w:pPr>
        <w:rPr>
          <w:lang w:val="de-DE"/>
        </w:rPr>
      </w:pPr>
      <w:r w:rsidRPr="00805E6F">
        <w:rPr>
          <w:b/>
          <w:lang w:val="de-DE"/>
        </w:rPr>
        <w:t>Überwachung, Bewertung und Berichterstattung</w:t>
      </w:r>
      <w:r w:rsidR="00805E6F" w:rsidRPr="00805E6F">
        <w:rPr>
          <w:b/>
          <w:lang w:val="de-DE"/>
        </w:rPr>
        <w:t xml:space="preserve">. </w:t>
      </w:r>
      <w:r w:rsidRPr="002A72C8">
        <w:rPr>
          <w:lang w:val="de-DE"/>
        </w:rPr>
        <w:t>Der Bürodirektor, der Leiter der Entwicklungsabteilung, der Projektkoordinator, der Büroingenieur, der WASH-Beauftragte, der Schulleiter und das Wasser- und Bergbaubüro des Distrikts tragen gemeinsam die Verantwortung, die Projektdurchführung auf der Grundlage ihrer Spezifikationen zu überwachen und zu bewerten. Darüber hinaus haben der Projektkoordinator und das WASH-Büro mehr Verantwortung als andere für die Projektüberwachung und für die Erstellung von Berichten. Basierend auf dem Projektimplementierungsfortschritt und dem Zeitplan muss ein monatlicher Bericht an den Spender, die Regierung und andere betroffene Stellen gesendet werden.</w:t>
      </w:r>
    </w:p>
    <w:p w:rsidR="002A72C8" w:rsidRPr="002A72C8" w:rsidRDefault="002A72C8" w:rsidP="002A72C8">
      <w:pPr>
        <w:rPr>
          <w:lang w:val="de-DE"/>
        </w:rPr>
      </w:pPr>
      <w:r w:rsidRPr="00805E6F">
        <w:rPr>
          <w:b/>
          <w:lang w:val="de-DE"/>
        </w:rPr>
        <w:t>Schulungen</w:t>
      </w:r>
      <w:r w:rsidR="00805E6F" w:rsidRPr="00805E6F">
        <w:rPr>
          <w:b/>
          <w:lang w:val="de-DE"/>
        </w:rPr>
        <w:t>.</w:t>
      </w:r>
      <w:r w:rsidR="00805E6F">
        <w:rPr>
          <w:lang w:val="de-DE"/>
        </w:rPr>
        <w:t xml:space="preserve"> </w:t>
      </w:r>
      <w:r w:rsidR="000A1522">
        <w:rPr>
          <w:lang w:val="de-DE"/>
        </w:rPr>
        <w:t xml:space="preserve">Betreffend der </w:t>
      </w:r>
      <w:r w:rsidRPr="002A72C8">
        <w:rPr>
          <w:lang w:val="de-DE"/>
        </w:rPr>
        <w:t xml:space="preserve"> Verwaltung der</w:t>
      </w:r>
      <w:r w:rsidR="000A1522">
        <w:rPr>
          <w:lang w:val="de-DE"/>
        </w:rPr>
        <w:t xml:space="preserve"> Wasserpunkte sowie der Sauberkeit </w:t>
      </w:r>
      <w:r w:rsidRPr="002A72C8">
        <w:rPr>
          <w:lang w:val="de-DE"/>
        </w:rPr>
        <w:t>un</w:t>
      </w:r>
      <w:r w:rsidR="000A1522">
        <w:rPr>
          <w:lang w:val="de-DE"/>
        </w:rPr>
        <w:t>d Hygiene gibt es</w:t>
      </w:r>
      <w:r w:rsidRPr="002A72C8">
        <w:rPr>
          <w:lang w:val="de-DE"/>
        </w:rPr>
        <w:t xml:space="preserve"> ein paar Schulungen für Mitglieder des WASH-Clubs der Schule, Schulpersonal, das WASH-Komitee der Gemeinschaft und die gesamte Gemeinde. Für Schulleiter und kommunale Wasserstellenleiter muss außerdem die Grundschulung für die Wasserpunkterhaltung erteilt werden.</w:t>
      </w:r>
    </w:p>
    <w:p w:rsidR="002A72C8" w:rsidRPr="002A72C8" w:rsidRDefault="002A72C8" w:rsidP="00A73039">
      <w:pPr>
        <w:rPr>
          <w:lang w:val="de-DE"/>
        </w:rPr>
      </w:pPr>
      <w:r w:rsidRPr="00805E6F">
        <w:rPr>
          <w:b/>
          <w:lang w:val="de-DE"/>
        </w:rPr>
        <w:t>B</w:t>
      </w:r>
      <w:r w:rsidR="00805E6F" w:rsidRPr="00805E6F">
        <w:rPr>
          <w:b/>
          <w:lang w:val="de-DE"/>
        </w:rPr>
        <w:t xml:space="preserve">ereitstellung von Werkzeugen. </w:t>
      </w:r>
      <w:r w:rsidRPr="002A72C8">
        <w:rPr>
          <w:lang w:val="de-DE"/>
        </w:rPr>
        <w:t xml:space="preserve">Die </w:t>
      </w:r>
      <w:r w:rsidR="00805E6F">
        <w:rPr>
          <w:lang w:val="de-DE"/>
        </w:rPr>
        <w:t xml:space="preserve">grundlegende Wartungsinfrastruktur </w:t>
      </w:r>
      <w:r w:rsidRPr="002A72C8">
        <w:rPr>
          <w:lang w:val="de-DE"/>
        </w:rPr>
        <w:t xml:space="preserve"> </w:t>
      </w:r>
      <w:r w:rsidR="00805E6F">
        <w:rPr>
          <w:lang w:val="de-DE"/>
        </w:rPr>
        <w:t>muss</w:t>
      </w:r>
      <w:r w:rsidRPr="002A72C8">
        <w:rPr>
          <w:lang w:val="de-DE"/>
        </w:rPr>
        <w:t xml:space="preserve"> den örtlichen Wasser</w:t>
      </w:r>
      <w:r w:rsidR="00805E6F">
        <w:rPr>
          <w:lang w:val="de-DE"/>
        </w:rPr>
        <w:t>verantwortlichen</w:t>
      </w:r>
      <w:r w:rsidRPr="002A72C8">
        <w:rPr>
          <w:lang w:val="de-DE"/>
        </w:rPr>
        <w:t xml:space="preserve"> und dem Schulleiter zur Verfügung gestellt werden. </w:t>
      </w:r>
    </w:p>
    <w:p w:rsidR="00805E6F" w:rsidRDefault="002A72C8" w:rsidP="00805E6F">
      <w:pPr>
        <w:rPr>
          <w:rFonts w:ascii="Arial" w:hAnsi="Arial"/>
          <w:b/>
          <w:i/>
        </w:rPr>
      </w:pPr>
      <w:r w:rsidRPr="00805E6F">
        <w:rPr>
          <w:b/>
          <w:lang w:val="de-DE"/>
        </w:rPr>
        <w:t>Übergabe von Wasserstellen</w:t>
      </w:r>
      <w:r w:rsidR="00805E6F" w:rsidRPr="00805E6F">
        <w:rPr>
          <w:b/>
          <w:lang w:val="de-DE"/>
        </w:rPr>
        <w:t>.</w:t>
      </w:r>
      <w:r w:rsidR="00805E6F">
        <w:rPr>
          <w:lang w:val="de-DE"/>
        </w:rPr>
        <w:t xml:space="preserve"> </w:t>
      </w:r>
      <w:r w:rsidRPr="002A72C8">
        <w:rPr>
          <w:lang w:val="de-DE"/>
        </w:rPr>
        <w:t>Nach Abschluss des Baus muss die Gemeinschaftswasserstelle der Gemeinde übergeben werden. Die Gemeindewasserstellenleiter sollten alle Verantwortung übernehmen und sie verwalten. Wenn sie Schwierigkeiten mit der Wasserstelle haben, müssen sie sich bei der Wasser- und Bergbaubehörde des Distrikts melden. Wenn der WASH-Club der Schule Probleme mit der Wasser</w:t>
      </w:r>
      <w:r w:rsidR="00805E6F">
        <w:rPr>
          <w:lang w:val="de-DE"/>
        </w:rPr>
        <w:t>versorgung</w:t>
      </w:r>
      <w:r w:rsidRPr="002A72C8">
        <w:rPr>
          <w:lang w:val="de-DE"/>
        </w:rPr>
        <w:t xml:space="preserve"> hat, muss er dem Schulleiter unverzüglich Bericht erstatten. Wenn das Problem </w:t>
      </w:r>
      <w:r w:rsidR="006260D2">
        <w:rPr>
          <w:lang w:val="de-DE"/>
        </w:rPr>
        <w:t xml:space="preserve">die Kapazitäten der Schule übersteigt, müssen sie an unser Büro berichten; wir stellen </w:t>
      </w:r>
      <w:r w:rsidRPr="002A72C8">
        <w:rPr>
          <w:lang w:val="de-DE"/>
        </w:rPr>
        <w:t>dann die Kommunikation mit dem Wasser- und Bergwerksamt des Distrikts für die Wartung her.</w:t>
      </w:r>
      <w:r w:rsidR="00805E6F">
        <w:rPr>
          <w:rFonts w:ascii="Arial" w:hAnsi="Arial"/>
          <w:b/>
          <w:i/>
        </w:rPr>
        <w:t xml:space="preserve"> </w:t>
      </w:r>
      <w:r w:rsidR="00F937E1">
        <w:rPr>
          <w:rFonts w:ascii="Arial" w:hAnsi="Arial"/>
          <w:b/>
          <w:i/>
        </w:rPr>
        <w:br/>
      </w:r>
    </w:p>
    <w:p w:rsidR="002A72C8" w:rsidRPr="00F937E1" w:rsidRDefault="00A73039" w:rsidP="00805E6F">
      <w:pPr>
        <w:rPr>
          <w:sz w:val="28"/>
          <w:lang w:val="de-DE"/>
        </w:rPr>
      </w:pPr>
      <w:r w:rsidRPr="00F937E1">
        <w:rPr>
          <w:rFonts w:ascii="Arial" w:hAnsi="Arial"/>
          <w:b/>
          <w:sz w:val="28"/>
        </w:rPr>
        <w:t>Annahmen und Risiken</w:t>
      </w:r>
    </w:p>
    <w:tbl>
      <w:tblPr>
        <w:tblStyle w:val="Tabellenraster"/>
        <w:tblW w:w="9180" w:type="dxa"/>
        <w:tblLayout w:type="fixed"/>
        <w:tblLook w:val="04A0"/>
      </w:tblPr>
      <w:tblGrid>
        <w:gridCol w:w="2376"/>
        <w:gridCol w:w="2268"/>
        <w:gridCol w:w="2410"/>
        <w:gridCol w:w="2126"/>
      </w:tblGrid>
      <w:tr w:rsidR="00A73039" w:rsidRPr="00035286">
        <w:trPr>
          <w:trHeight w:val="283"/>
        </w:trPr>
        <w:tc>
          <w:tcPr>
            <w:tcW w:w="2376" w:type="dxa"/>
            <w:shd w:val="clear" w:color="auto" w:fill="D9D9D9" w:themeFill="background1" w:themeFillShade="D9"/>
          </w:tcPr>
          <w:p w:rsidR="00A73039" w:rsidRPr="00A73039" w:rsidRDefault="00A73039" w:rsidP="00A73039">
            <w:pPr>
              <w:pStyle w:val="Aufzhlung"/>
              <w:rPr>
                <w:lang w:val="en-GB"/>
              </w:rPr>
            </w:pPr>
            <w:r w:rsidRPr="00A73039">
              <w:rPr>
                <w:lang w:val="en-GB"/>
              </w:rPr>
              <w:t>Risikobeschreibung</w:t>
            </w:r>
          </w:p>
          <w:p w:rsidR="00A73039" w:rsidRPr="00A73039" w:rsidRDefault="00A73039" w:rsidP="00A73039">
            <w:pPr>
              <w:pStyle w:val="Aufzhlung"/>
            </w:pPr>
            <w:r w:rsidRPr="00A73039">
              <w:t>(z. B. physisch, ökologisch, politisch, wirtschaftlich, sozial)</w:t>
            </w:r>
          </w:p>
        </w:tc>
        <w:tc>
          <w:tcPr>
            <w:tcW w:w="2268" w:type="dxa"/>
            <w:shd w:val="clear" w:color="auto" w:fill="D9D9D9" w:themeFill="background1" w:themeFillShade="D9"/>
          </w:tcPr>
          <w:p w:rsidR="00A73039" w:rsidRPr="000D23D3" w:rsidRDefault="00A73039" w:rsidP="00A73039">
            <w:pPr>
              <w:pStyle w:val="Aufzhlung"/>
            </w:pPr>
            <w:r w:rsidRPr="000D23D3">
              <w:t>a) Eintrittswahrscheinlichkeit</w:t>
            </w:r>
          </w:p>
          <w:p w:rsidR="00A73039" w:rsidRPr="00A73039" w:rsidRDefault="00A73039" w:rsidP="000D23D3">
            <w:pPr>
              <w:pStyle w:val="Aufzhlung"/>
            </w:pPr>
            <w:r w:rsidRPr="00A73039">
              <w:t>b) Aus</w:t>
            </w:r>
            <w:r w:rsidR="000D23D3">
              <w:t>wirkungen auf das Projekt / die Erfüllung</w:t>
            </w:r>
          </w:p>
        </w:tc>
        <w:tc>
          <w:tcPr>
            <w:tcW w:w="2410" w:type="dxa"/>
            <w:shd w:val="clear" w:color="auto" w:fill="D9D9D9" w:themeFill="background1" w:themeFillShade="D9"/>
          </w:tcPr>
          <w:p w:rsidR="00A73039" w:rsidRPr="00564854" w:rsidRDefault="000D23D3" w:rsidP="00E0131A">
            <w:pPr>
              <w:pStyle w:val="Aufzhlung"/>
            </w:pPr>
            <w:r w:rsidRPr="000D23D3">
              <w:t>Präventions- / Minderungsmaßnahmen</w:t>
            </w:r>
          </w:p>
        </w:tc>
        <w:tc>
          <w:tcPr>
            <w:tcW w:w="2126" w:type="dxa"/>
            <w:shd w:val="clear" w:color="auto" w:fill="D9D9D9" w:themeFill="background1" w:themeFillShade="D9"/>
          </w:tcPr>
          <w:p w:rsidR="000D23D3" w:rsidRPr="000D23D3" w:rsidRDefault="000D23D3" w:rsidP="000D23D3">
            <w:pPr>
              <w:pStyle w:val="Aufzhlung"/>
              <w:rPr>
                <w:lang w:val="en-GB"/>
              </w:rPr>
            </w:pPr>
            <w:r w:rsidRPr="000D23D3">
              <w:rPr>
                <w:lang w:val="en-GB"/>
              </w:rPr>
              <w:t>Notfallplan</w:t>
            </w:r>
          </w:p>
          <w:p w:rsidR="00A73039" w:rsidRPr="00445C85" w:rsidRDefault="000D23D3" w:rsidP="000D23D3">
            <w:pPr>
              <w:pStyle w:val="Aufzhlung"/>
              <w:rPr>
                <w:lang w:val="en-GB"/>
              </w:rPr>
            </w:pPr>
            <w:r w:rsidRPr="000D23D3">
              <w:rPr>
                <w:lang w:val="en-GB"/>
              </w:rPr>
              <w:t>(Maßnahmen im Ereignisfall)</w:t>
            </w:r>
          </w:p>
        </w:tc>
      </w:tr>
      <w:tr w:rsidR="00A73039" w:rsidRPr="0009477A">
        <w:trPr>
          <w:trHeight w:val="283"/>
        </w:trPr>
        <w:tc>
          <w:tcPr>
            <w:tcW w:w="2376" w:type="dxa"/>
          </w:tcPr>
          <w:p w:rsidR="00A73039" w:rsidRPr="000D23D3" w:rsidRDefault="000D23D3" w:rsidP="00E0131A">
            <w:pPr>
              <w:pStyle w:val="Aufzhlung"/>
            </w:pPr>
            <w:r w:rsidRPr="000D23D3">
              <w:t>Die Grundwasserquelle könnte tiefer als erwartet sein</w:t>
            </w:r>
            <w:r w:rsidR="00A73039" w:rsidRPr="000D23D3">
              <w:t xml:space="preserve"> </w:t>
            </w:r>
          </w:p>
        </w:tc>
        <w:tc>
          <w:tcPr>
            <w:tcW w:w="2268" w:type="dxa"/>
          </w:tcPr>
          <w:p w:rsidR="000D23D3" w:rsidRDefault="000D23D3" w:rsidP="000D23D3">
            <w:pPr>
              <w:pStyle w:val="Aufzhlung"/>
            </w:pPr>
            <w:r>
              <w:t>Möglich,</w:t>
            </w:r>
          </w:p>
          <w:p w:rsidR="00A73039" w:rsidRPr="00564854" w:rsidRDefault="000D23D3" w:rsidP="000D23D3">
            <w:pPr>
              <w:pStyle w:val="Aufzhlung"/>
            </w:pPr>
            <w:r>
              <w:t>mäßig</w:t>
            </w:r>
          </w:p>
        </w:tc>
        <w:tc>
          <w:tcPr>
            <w:tcW w:w="2410" w:type="dxa"/>
          </w:tcPr>
          <w:p w:rsidR="00A73039" w:rsidRPr="00BF0159" w:rsidRDefault="00BF0159" w:rsidP="00E0131A">
            <w:pPr>
              <w:pStyle w:val="Aufzhlung"/>
            </w:pPr>
            <w:r w:rsidRPr="00BF0159">
              <w:t>Die Standortauswahl sollte ernsthaft von Fachleuten durchgeführt werden</w:t>
            </w:r>
          </w:p>
        </w:tc>
        <w:tc>
          <w:tcPr>
            <w:tcW w:w="2126" w:type="dxa"/>
          </w:tcPr>
          <w:p w:rsidR="00A73039" w:rsidRPr="0009477A" w:rsidRDefault="0009477A" w:rsidP="00E0131A">
            <w:pPr>
              <w:pStyle w:val="Aufzhlung"/>
            </w:pPr>
            <w:r w:rsidRPr="0009477A">
              <w:t>Ein durchschnittlicher Tiefenmesser muss in den Projektplan aufgenommen werden</w:t>
            </w:r>
          </w:p>
        </w:tc>
      </w:tr>
      <w:tr w:rsidR="00A73039" w:rsidRPr="0009477A">
        <w:trPr>
          <w:trHeight w:val="283"/>
        </w:trPr>
        <w:tc>
          <w:tcPr>
            <w:tcW w:w="2376" w:type="dxa"/>
          </w:tcPr>
          <w:p w:rsidR="00A73039" w:rsidRPr="000D23D3" w:rsidRDefault="000D23D3" w:rsidP="00E0131A">
            <w:pPr>
              <w:pStyle w:val="Aufzhlung"/>
            </w:pPr>
            <w:r w:rsidRPr="000D23D3">
              <w:t>Hohe Niederschläge</w:t>
            </w:r>
            <w:r>
              <w:t xml:space="preserve"> auf dem Gebiet und Auswirkungen auf</w:t>
            </w:r>
            <w:r w:rsidRPr="000D23D3">
              <w:t xml:space="preserve"> das Bohren von Brunnen</w:t>
            </w:r>
          </w:p>
        </w:tc>
        <w:tc>
          <w:tcPr>
            <w:tcW w:w="2268" w:type="dxa"/>
          </w:tcPr>
          <w:p w:rsidR="000D23D3" w:rsidRDefault="000D23D3" w:rsidP="00E0131A">
            <w:pPr>
              <w:pStyle w:val="Aufzhlung"/>
            </w:pPr>
            <w:r>
              <w:t>Möglich,</w:t>
            </w:r>
          </w:p>
          <w:p w:rsidR="00A73039" w:rsidRPr="00564854" w:rsidRDefault="000D23D3" w:rsidP="00E0131A">
            <w:pPr>
              <w:pStyle w:val="Aufzhlung"/>
            </w:pPr>
            <w:r>
              <w:t>gering</w:t>
            </w:r>
            <w:r w:rsidR="00A73039">
              <w:t xml:space="preserve"> </w:t>
            </w:r>
          </w:p>
        </w:tc>
        <w:tc>
          <w:tcPr>
            <w:tcW w:w="2410" w:type="dxa"/>
          </w:tcPr>
          <w:p w:rsidR="00A73039" w:rsidRPr="00BF0159" w:rsidRDefault="00BF0159" w:rsidP="00E0131A">
            <w:pPr>
              <w:pStyle w:val="Aufzhlung"/>
            </w:pPr>
            <w:r w:rsidRPr="00BF0159">
              <w:t>Der Auftragnehmer muss einen vereinbarten Zeitplan ordnungsgemäß anwenden und das Baumaterial zu Beginn entsorgen</w:t>
            </w:r>
          </w:p>
        </w:tc>
        <w:tc>
          <w:tcPr>
            <w:tcW w:w="2126" w:type="dxa"/>
          </w:tcPr>
          <w:p w:rsidR="00A73039" w:rsidRPr="0009477A" w:rsidRDefault="0009477A" w:rsidP="00E0131A">
            <w:pPr>
              <w:pStyle w:val="Aufzhlung"/>
            </w:pPr>
            <w:r w:rsidRPr="0009477A">
              <w:t>Die Regensituation muss während des Projektzeitplans berücksichtigt werden</w:t>
            </w:r>
          </w:p>
        </w:tc>
      </w:tr>
      <w:tr w:rsidR="00A73039" w:rsidRPr="0009477A">
        <w:trPr>
          <w:trHeight w:val="283"/>
        </w:trPr>
        <w:tc>
          <w:tcPr>
            <w:tcW w:w="2376" w:type="dxa"/>
          </w:tcPr>
          <w:p w:rsidR="00A73039" w:rsidRPr="000D23D3" w:rsidRDefault="000D23D3" w:rsidP="00E0131A">
            <w:pPr>
              <w:pStyle w:val="Aufzhlung"/>
            </w:pPr>
            <w:r w:rsidRPr="000D23D3">
              <w:t>Beschwerde des Auftragnehmers über die Eskalation von Baumaterialien</w:t>
            </w:r>
          </w:p>
        </w:tc>
        <w:tc>
          <w:tcPr>
            <w:tcW w:w="2268" w:type="dxa"/>
          </w:tcPr>
          <w:p w:rsidR="000D23D3" w:rsidRDefault="000D23D3" w:rsidP="00E0131A">
            <w:pPr>
              <w:pStyle w:val="Aufzhlung"/>
            </w:pPr>
            <w:r>
              <w:t>Möglich,</w:t>
            </w:r>
          </w:p>
          <w:p w:rsidR="00A73039" w:rsidRPr="00564854" w:rsidRDefault="000D23D3" w:rsidP="00E0131A">
            <w:pPr>
              <w:pStyle w:val="Aufzhlung"/>
            </w:pPr>
            <w:r>
              <w:t>gering</w:t>
            </w:r>
            <w:r w:rsidR="00A73039">
              <w:t xml:space="preserve"> </w:t>
            </w:r>
          </w:p>
        </w:tc>
        <w:tc>
          <w:tcPr>
            <w:tcW w:w="2410" w:type="dxa"/>
          </w:tcPr>
          <w:p w:rsidR="00A73039" w:rsidRPr="00BF0159" w:rsidRDefault="00BF0159" w:rsidP="00E0131A">
            <w:pPr>
              <w:pStyle w:val="Aufzhlung"/>
            </w:pPr>
            <w:r w:rsidRPr="00BF0159">
              <w:t>Bei der Auswahl des Auftragnehmers ist Vorsicht geboten</w:t>
            </w:r>
          </w:p>
        </w:tc>
        <w:tc>
          <w:tcPr>
            <w:tcW w:w="2126" w:type="dxa"/>
          </w:tcPr>
          <w:p w:rsidR="00A73039" w:rsidRPr="0009477A" w:rsidRDefault="0009477A" w:rsidP="00E0131A">
            <w:pPr>
              <w:pStyle w:val="Aufzhlung"/>
            </w:pPr>
            <w:r w:rsidRPr="0009477A">
              <w:t>Die Ausschreibung muss veröffentlicht werden, um eine ausreichende Anzahl von Teilnehmern zu erhalten</w:t>
            </w:r>
          </w:p>
        </w:tc>
      </w:tr>
      <w:tr w:rsidR="00A73039" w:rsidRPr="0009477A">
        <w:trPr>
          <w:trHeight w:val="283"/>
        </w:trPr>
        <w:tc>
          <w:tcPr>
            <w:tcW w:w="2376" w:type="dxa"/>
          </w:tcPr>
          <w:p w:rsidR="00A73039" w:rsidRPr="000D23D3" w:rsidRDefault="000D23D3" w:rsidP="00E0131A">
            <w:pPr>
              <w:pStyle w:val="Aufzhlung"/>
            </w:pPr>
            <w:r w:rsidRPr="000D23D3">
              <w:t>Großes Interesse der Gemeinde, zusätzliche Wasserpunkte für die Gemeinde zu errichten</w:t>
            </w:r>
          </w:p>
        </w:tc>
        <w:tc>
          <w:tcPr>
            <w:tcW w:w="2268" w:type="dxa"/>
          </w:tcPr>
          <w:p w:rsidR="000D23D3" w:rsidRDefault="000D23D3" w:rsidP="000D23D3">
            <w:pPr>
              <w:pStyle w:val="Aufzhlung"/>
            </w:pPr>
            <w:r>
              <w:t>Möglich,</w:t>
            </w:r>
          </w:p>
          <w:p w:rsidR="00A73039" w:rsidRPr="00564854" w:rsidRDefault="000D23D3" w:rsidP="000D23D3">
            <w:pPr>
              <w:pStyle w:val="Aufzhlung"/>
            </w:pPr>
            <w:r>
              <w:t>mäßig</w:t>
            </w:r>
          </w:p>
        </w:tc>
        <w:tc>
          <w:tcPr>
            <w:tcW w:w="2410" w:type="dxa"/>
          </w:tcPr>
          <w:p w:rsidR="00A73039" w:rsidRPr="00BF0159" w:rsidRDefault="00BF0159" w:rsidP="00E0131A">
            <w:pPr>
              <w:pStyle w:val="Aufzhlung"/>
            </w:pPr>
            <w:r w:rsidRPr="00BF0159">
              <w:t>Zu Beginn der Projektintervention muss die klare Diskussion mit der Community geführt werden</w:t>
            </w:r>
          </w:p>
        </w:tc>
        <w:tc>
          <w:tcPr>
            <w:tcW w:w="2126" w:type="dxa"/>
          </w:tcPr>
          <w:p w:rsidR="00A73039" w:rsidRPr="0009477A" w:rsidRDefault="0009477A" w:rsidP="0009477A">
            <w:pPr>
              <w:pStyle w:val="Aufzhlung"/>
            </w:pPr>
            <w:r w:rsidRPr="0009477A">
              <w:t>Bei der Auswahl der Gemeindewasser</w:t>
            </w:r>
            <w:r>
              <w:t>-</w:t>
            </w:r>
            <w:r w:rsidRPr="0009477A">
              <w:t xml:space="preserve">stellen müssen die Gemeindevertreter an einem </w:t>
            </w:r>
            <w:r>
              <w:t xml:space="preserve">neutralen </w:t>
            </w:r>
            <w:r w:rsidRPr="0009477A">
              <w:t>Ort teilnehmen</w:t>
            </w:r>
          </w:p>
        </w:tc>
      </w:tr>
    </w:tbl>
    <w:p w:rsidR="00A73039" w:rsidRDefault="00A73039" w:rsidP="002A72C8">
      <w:pPr>
        <w:rPr>
          <w:lang w:val="de-DE"/>
        </w:rPr>
      </w:pPr>
    </w:p>
    <w:p w:rsidR="00701CB7" w:rsidRPr="00701CB7" w:rsidRDefault="00701CB7" w:rsidP="00701CB7">
      <w:pPr>
        <w:rPr>
          <w:rFonts w:ascii="Arial" w:hAnsi="Arial"/>
          <w:b/>
        </w:rPr>
      </w:pPr>
      <w:r w:rsidRPr="00701CB7">
        <w:rPr>
          <w:rFonts w:ascii="Arial" w:hAnsi="Arial"/>
          <w:b/>
        </w:rPr>
        <w:t>Notwendige Mittel und Kosten</w:t>
      </w:r>
    </w:p>
    <w:p w:rsidR="00701CB7" w:rsidRPr="00701CB7" w:rsidRDefault="00701CB7" w:rsidP="00701CB7">
      <w:pPr>
        <w:rPr>
          <w:lang w:val="de-DE"/>
        </w:rPr>
      </w:pPr>
      <w:r w:rsidRPr="00701CB7">
        <w:rPr>
          <w:lang w:val="de-DE"/>
        </w:rPr>
        <w:t>Für die Auswahl de</w:t>
      </w:r>
      <w:r w:rsidR="00805E6F">
        <w:rPr>
          <w:lang w:val="de-DE"/>
        </w:rPr>
        <w:t>s</w:t>
      </w:r>
      <w:r w:rsidRPr="00701CB7">
        <w:rPr>
          <w:lang w:val="de-DE"/>
        </w:rPr>
        <w:t xml:space="preserve"> </w:t>
      </w:r>
      <w:r w:rsidR="00805E6F">
        <w:rPr>
          <w:lang w:val="de-DE"/>
        </w:rPr>
        <w:t>Brunnes</w:t>
      </w:r>
      <w:r w:rsidRPr="00701CB7">
        <w:rPr>
          <w:lang w:val="de-DE"/>
        </w:rPr>
        <w:t xml:space="preserve"> und die Ermittlung</w:t>
      </w:r>
      <w:r>
        <w:rPr>
          <w:lang w:val="de-DE"/>
        </w:rPr>
        <w:t xml:space="preserve"> der </w:t>
      </w:r>
      <w:r w:rsidR="00805E6F">
        <w:rPr>
          <w:lang w:val="de-DE"/>
        </w:rPr>
        <w:t>T</w:t>
      </w:r>
      <w:r>
        <w:rPr>
          <w:lang w:val="de-DE"/>
        </w:rPr>
        <w:t>rink</w:t>
      </w:r>
      <w:r w:rsidR="00805E6F">
        <w:rPr>
          <w:lang w:val="de-DE"/>
        </w:rPr>
        <w:t>barkeit sind das interne Wissen</w:t>
      </w:r>
      <w:r>
        <w:rPr>
          <w:lang w:val="de-DE"/>
        </w:rPr>
        <w:t xml:space="preserve"> sowie </w:t>
      </w:r>
      <w:r w:rsidRPr="00701CB7">
        <w:rPr>
          <w:lang w:val="de-DE"/>
        </w:rPr>
        <w:t xml:space="preserve">das WASH-Teamwissen und </w:t>
      </w:r>
      <w:r>
        <w:rPr>
          <w:lang w:val="de-DE"/>
        </w:rPr>
        <w:t xml:space="preserve">die </w:t>
      </w:r>
      <w:r w:rsidR="00805E6F">
        <w:rPr>
          <w:lang w:val="de-DE"/>
        </w:rPr>
        <w:t>Expertise</w:t>
      </w:r>
      <w:r w:rsidRPr="00701CB7">
        <w:rPr>
          <w:lang w:val="de-DE"/>
        </w:rPr>
        <w:t xml:space="preserve"> externe</w:t>
      </w:r>
      <w:r>
        <w:rPr>
          <w:lang w:val="de-DE"/>
        </w:rPr>
        <w:t xml:space="preserve">r </w:t>
      </w:r>
      <w:r w:rsidRPr="00701CB7">
        <w:rPr>
          <w:lang w:val="de-DE"/>
        </w:rPr>
        <w:t xml:space="preserve"> Fachleute wichtig. Daher setzen wir sowohl das WASH-Team </w:t>
      </w:r>
      <w:r>
        <w:rPr>
          <w:lang w:val="de-DE"/>
        </w:rPr>
        <w:t xml:space="preserve">Büro </w:t>
      </w:r>
      <w:r w:rsidRPr="00701CB7">
        <w:rPr>
          <w:lang w:val="de-DE"/>
        </w:rPr>
        <w:t>als auch externe Experten von Regierungsstellen / Büros ein.</w:t>
      </w:r>
    </w:p>
    <w:p w:rsidR="00FC5F3E" w:rsidRDefault="00701CB7" w:rsidP="00701CB7">
      <w:pPr>
        <w:rPr>
          <w:lang w:val="de-DE"/>
        </w:rPr>
      </w:pPr>
      <w:r w:rsidRPr="00805E6F">
        <w:rPr>
          <w:b/>
          <w:lang w:val="de-DE"/>
        </w:rPr>
        <w:t>Dienstleistungen von Wasser- und Bergbaubüros, Fachleuten, Schulen, Ausführungsbüros</w:t>
      </w:r>
      <w:r w:rsidR="00805E6F" w:rsidRPr="00805E6F">
        <w:rPr>
          <w:b/>
          <w:lang w:val="de-DE"/>
        </w:rPr>
        <w:t>.</w:t>
      </w:r>
      <w:r w:rsidR="00805E6F">
        <w:rPr>
          <w:lang w:val="de-DE"/>
        </w:rPr>
        <w:t xml:space="preserve"> </w:t>
      </w:r>
      <w:r w:rsidRPr="00701CB7">
        <w:rPr>
          <w:lang w:val="de-DE"/>
        </w:rPr>
        <w:t>Für die Mobilisierung der Gemeinde und die Beratung von Fachleuten benötigen wir den Service eines Wasser- und Bergwerksamtes. Darüber hinaus geben uns externe Fachleute Empfehlungen für die Auswahl von Wasserbrunnen. Die Schulverwaltungsmitarbeiter der Mi</w:t>
      </w:r>
      <w:r w:rsidR="00805E6F">
        <w:rPr>
          <w:lang w:val="de-DE"/>
        </w:rPr>
        <w:t>q</w:t>
      </w:r>
      <w:r w:rsidRPr="00701CB7">
        <w:rPr>
          <w:lang w:val="de-DE"/>
        </w:rPr>
        <w:t xml:space="preserve">e School bieten einen </w:t>
      </w:r>
      <w:r w:rsidR="00805E6F">
        <w:rPr>
          <w:lang w:val="de-DE"/>
        </w:rPr>
        <w:t>direkten</w:t>
      </w:r>
      <w:r w:rsidRPr="00701CB7">
        <w:rPr>
          <w:lang w:val="de-DE"/>
        </w:rPr>
        <w:t xml:space="preserve"> Service für das WASH-Team, das Wasser- und Bergbaubüro des Distrikts, Fachleute, Projektkoordinatoren, Bauunternehmer und andere, um die Implementierung von </w:t>
      </w:r>
      <w:r w:rsidR="00805E6F">
        <w:rPr>
          <w:lang w:val="de-DE"/>
        </w:rPr>
        <w:t>B</w:t>
      </w:r>
      <w:r w:rsidRPr="00701CB7">
        <w:rPr>
          <w:lang w:val="de-DE"/>
        </w:rPr>
        <w:t>runnenprojekten sicherzustellen. Das Projektdurchführungsbüro bietet Finanzdienstleistung und Logistikdienstleistung für Auftragnehmer und WASH-Team sowie Koordinatoren an, um die Projektaktivitäten planmäßig durchzuführen.</w:t>
      </w:r>
    </w:p>
    <w:p w:rsidR="00701CB7" w:rsidRPr="00701CB7" w:rsidRDefault="00701CB7" w:rsidP="00701CB7">
      <w:pPr>
        <w:rPr>
          <w:lang w:val="de-DE"/>
        </w:rPr>
      </w:pPr>
    </w:p>
    <w:p w:rsidR="00805E6F" w:rsidRPr="00FC5F3E" w:rsidRDefault="00FC5F3E" w:rsidP="00805E6F">
      <w:pPr>
        <w:rPr>
          <w:rFonts w:ascii="Arial" w:hAnsi="Arial"/>
          <w:b/>
          <w:sz w:val="28"/>
        </w:rPr>
      </w:pPr>
      <w:r w:rsidRPr="00FC5F3E">
        <w:rPr>
          <w:rFonts w:ascii="Arial" w:hAnsi="Arial"/>
          <w:b/>
          <w:sz w:val="28"/>
        </w:rPr>
        <w:t>Budgetübersicht</w:t>
      </w:r>
    </w:p>
    <w:tbl>
      <w:tblPr>
        <w:tblStyle w:val="Tabellenraster"/>
        <w:tblW w:w="0" w:type="auto"/>
        <w:shd w:val="clear" w:color="auto" w:fill="FFFF99"/>
        <w:tblLook w:val="00BF"/>
      </w:tblPr>
      <w:tblGrid>
        <w:gridCol w:w="959"/>
        <w:gridCol w:w="3647"/>
        <w:gridCol w:w="2303"/>
        <w:gridCol w:w="2303"/>
      </w:tblGrid>
      <w:tr w:rsidR="00EC3692" w:rsidRPr="00EC3692">
        <w:tc>
          <w:tcPr>
            <w:tcW w:w="959" w:type="dxa"/>
            <w:tcBorders>
              <w:bottom w:val="single" w:sz="4" w:space="0" w:color="auto"/>
            </w:tcBorders>
            <w:shd w:val="clear" w:color="auto" w:fill="FFFF99"/>
          </w:tcPr>
          <w:p w:rsidR="00EC3692" w:rsidRPr="00EC3692" w:rsidRDefault="00EC3692" w:rsidP="00805E6F">
            <w:pPr>
              <w:rPr>
                <w:rFonts w:ascii="Helvetica Neue" w:hAnsi="Helvetica Neue"/>
                <w:color w:val="595959" w:themeColor="text1" w:themeTint="A6"/>
                <w:lang w:val="de-DE"/>
              </w:rPr>
            </w:pPr>
            <w:r w:rsidRPr="00EC3692">
              <w:rPr>
                <w:rFonts w:ascii="Helvetica Neue" w:hAnsi="Helvetica Neue"/>
                <w:color w:val="595959" w:themeColor="text1" w:themeTint="A6"/>
                <w:lang w:val="de-DE"/>
              </w:rPr>
              <w:t xml:space="preserve"> </w:t>
            </w:r>
          </w:p>
        </w:tc>
        <w:tc>
          <w:tcPr>
            <w:tcW w:w="3647" w:type="dxa"/>
            <w:tcBorders>
              <w:bottom w:val="single" w:sz="4" w:space="0" w:color="auto"/>
            </w:tcBorders>
            <w:shd w:val="clear" w:color="auto" w:fill="FFFF99"/>
          </w:tcPr>
          <w:p w:rsidR="00EC3692" w:rsidRPr="00EC3692" w:rsidRDefault="00EC3692" w:rsidP="00805E6F">
            <w:pPr>
              <w:rPr>
                <w:rFonts w:ascii="Helvetica Neue" w:hAnsi="Helvetica Neue"/>
                <w:b/>
                <w:color w:val="595959" w:themeColor="text1" w:themeTint="A6"/>
                <w:sz w:val="24"/>
                <w:lang w:val="de-DE"/>
              </w:rPr>
            </w:pPr>
            <w:r w:rsidRPr="00EC3692">
              <w:rPr>
                <w:rFonts w:ascii="Helvetica Neue" w:hAnsi="Helvetica Neue"/>
                <w:b/>
                <w:color w:val="595959" w:themeColor="text1" w:themeTint="A6"/>
                <w:sz w:val="24"/>
                <w:lang w:val="de-DE"/>
              </w:rPr>
              <w:t>Maßnahmen</w:t>
            </w:r>
          </w:p>
        </w:tc>
        <w:tc>
          <w:tcPr>
            <w:tcW w:w="4606" w:type="dxa"/>
            <w:gridSpan w:val="2"/>
            <w:tcBorders>
              <w:bottom w:val="single" w:sz="4" w:space="0" w:color="auto"/>
            </w:tcBorders>
            <w:shd w:val="clear" w:color="auto" w:fill="FFFF99"/>
          </w:tcPr>
          <w:p w:rsidR="00EC3692" w:rsidRPr="00EC3692" w:rsidRDefault="00EC3692" w:rsidP="00805E6F">
            <w:pPr>
              <w:rPr>
                <w:rFonts w:ascii="Helvetica Neue" w:hAnsi="Helvetica Neue"/>
                <w:b/>
                <w:color w:val="595959" w:themeColor="text1" w:themeTint="A6"/>
                <w:sz w:val="24"/>
                <w:lang w:val="de-DE"/>
              </w:rPr>
            </w:pPr>
            <w:r w:rsidRPr="00EC3692">
              <w:rPr>
                <w:rFonts w:ascii="Helvetica Neue" w:hAnsi="Helvetica Neue"/>
                <w:b/>
                <w:color w:val="595959" w:themeColor="text1" w:themeTint="A6"/>
                <w:sz w:val="24"/>
                <w:lang w:val="de-DE"/>
              </w:rPr>
              <w:t>Erwartete Kosten</w:t>
            </w:r>
          </w:p>
        </w:tc>
      </w:tr>
      <w:tr w:rsidR="00FC5F3E" w:rsidRPr="00EC3692">
        <w:tc>
          <w:tcPr>
            <w:tcW w:w="959"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1</w:t>
            </w:r>
          </w:p>
        </w:tc>
        <w:tc>
          <w:tcPr>
            <w:tcW w:w="3647"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Programmkosten</w:t>
            </w:r>
          </w:p>
        </w:tc>
        <w:tc>
          <w:tcPr>
            <w:tcW w:w="2303"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ETB</w:t>
            </w:r>
          </w:p>
        </w:tc>
        <w:tc>
          <w:tcPr>
            <w:tcW w:w="2303" w:type="dxa"/>
            <w:shd w:val="clear" w:color="auto" w:fill="F3F3F3"/>
          </w:tcPr>
          <w:p w:rsidR="00FC5F3E" w:rsidRPr="00FC5F3E" w:rsidRDefault="00FC5F3E" w:rsidP="00805E6F">
            <w:pPr>
              <w:rPr>
                <w:rFonts w:ascii="Helvetica Neue" w:hAnsi="Helvetica Neue"/>
                <w:b/>
                <w:lang w:val="de-DE"/>
              </w:rPr>
            </w:pPr>
            <w:r w:rsidRPr="00FC5F3E">
              <w:rPr>
                <w:rFonts w:ascii="Helvetica Neue" w:hAnsi="Helvetica Neue"/>
                <w:b/>
                <w:lang w:val="de-DE"/>
              </w:rPr>
              <w:t>Euro</w:t>
            </w:r>
          </w:p>
        </w:tc>
      </w:tr>
      <w:tr w:rsidR="00FC5F3E" w:rsidRPr="00EC3692">
        <w:tc>
          <w:tcPr>
            <w:tcW w:w="959"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1.1</w:t>
            </w:r>
          </w:p>
        </w:tc>
        <w:tc>
          <w:tcPr>
            <w:tcW w:w="3647"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Graben des Brunnens</w:t>
            </w:r>
          </w:p>
        </w:tc>
        <w:tc>
          <w:tcPr>
            <w:tcW w:w="2303"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250.000</w:t>
            </w:r>
          </w:p>
        </w:tc>
        <w:tc>
          <w:tcPr>
            <w:tcW w:w="2303"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7.813,00</w:t>
            </w:r>
          </w:p>
        </w:tc>
      </w:tr>
      <w:tr w:rsidR="00FC5F3E" w:rsidRPr="00EC3692">
        <w:tc>
          <w:tcPr>
            <w:tcW w:w="959"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1.2</w:t>
            </w:r>
          </w:p>
        </w:tc>
        <w:tc>
          <w:tcPr>
            <w:tcW w:w="3647"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600 Meter Wasserteitungen für dieverse Verbindungen</w:t>
            </w:r>
          </w:p>
        </w:tc>
        <w:tc>
          <w:tcPr>
            <w:tcW w:w="2303" w:type="dxa"/>
            <w:shd w:val="clear" w:color="auto" w:fill="F3F3F3"/>
          </w:tcPr>
          <w:p w:rsidR="00FC5F3E" w:rsidRPr="00EC3692" w:rsidRDefault="00FC5F3E" w:rsidP="00EC3692">
            <w:pPr>
              <w:rPr>
                <w:rFonts w:ascii="Helvetica Neue" w:hAnsi="Helvetica Neue"/>
                <w:lang w:val="de-DE"/>
              </w:rPr>
            </w:pPr>
            <w:r>
              <w:rPr>
                <w:rFonts w:ascii="Helvetica Neue" w:hAnsi="Helvetica Neue"/>
                <w:lang w:val="de-DE"/>
              </w:rPr>
              <w:t>75.000</w:t>
            </w:r>
          </w:p>
        </w:tc>
        <w:tc>
          <w:tcPr>
            <w:tcW w:w="2303"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2.344,00</w:t>
            </w:r>
          </w:p>
        </w:tc>
      </w:tr>
      <w:tr w:rsidR="00FC5F3E" w:rsidRPr="00EC3692">
        <w:tc>
          <w:tcPr>
            <w:tcW w:w="959"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1.3</w:t>
            </w:r>
          </w:p>
        </w:tc>
        <w:tc>
          <w:tcPr>
            <w:tcW w:w="3647"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5000-Liter-Tank und Gerüst</w:t>
            </w:r>
          </w:p>
        </w:tc>
        <w:tc>
          <w:tcPr>
            <w:tcW w:w="2303"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170.000</w:t>
            </w:r>
          </w:p>
        </w:tc>
        <w:tc>
          <w:tcPr>
            <w:tcW w:w="2303"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5.312,00</w:t>
            </w:r>
          </w:p>
        </w:tc>
      </w:tr>
      <w:tr w:rsidR="00FC5F3E" w:rsidRPr="00EC3692">
        <w:tc>
          <w:tcPr>
            <w:tcW w:w="959"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1.4</w:t>
            </w:r>
          </w:p>
        </w:tc>
        <w:tc>
          <w:tcPr>
            <w:tcW w:w="3647"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Wash-Training</w:t>
            </w:r>
          </w:p>
        </w:tc>
        <w:tc>
          <w:tcPr>
            <w:tcW w:w="2303"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25.000</w:t>
            </w:r>
          </w:p>
        </w:tc>
        <w:tc>
          <w:tcPr>
            <w:tcW w:w="2303" w:type="dxa"/>
            <w:shd w:val="clear" w:color="auto" w:fill="F3F3F3"/>
          </w:tcPr>
          <w:p w:rsidR="00FC5F3E" w:rsidRPr="00EC3692" w:rsidRDefault="00FC5F3E" w:rsidP="00805E6F">
            <w:pPr>
              <w:rPr>
                <w:rFonts w:ascii="Helvetica Neue" w:hAnsi="Helvetica Neue"/>
                <w:lang w:val="de-DE"/>
              </w:rPr>
            </w:pPr>
            <w:r>
              <w:rPr>
                <w:rFonts w:ascii="Helvetica Neue" w:hAnsi="Helvetica Neue"/>
                <w:lang w:val="de-DE"/>
              </w:rPr>
              <w:t>781,00</w:t>
            </w:r>
          </w:p>
        </w:tc>
      </w:tr>
      <w:tr w:rsidR="00FC5F3E" w:rsidRPr="00EC3692">
        <w:tc>
          <w:tcPr>
            <w:tcW w:w="959" w:type="dxa"/>
            <w:shd w:val="clear" w:color="auto" w:fill="F3F3F3"/>
          </w:tcPr>
          <w:p w:rsidR="00FC5F3E" w:rsidRPr="00EC3692" w:rsidRDefault="00FC5F3E" w:rsidP="00805E6F">
            <w:pPr>
              <w:rPr>
                <w:rFonts w:ascii="Helvetica Neue" w:hAnsi="Helvetica Neue"/>
                <w:lang w:val="de-DE"/>
              </w:rPr>
            </w:pPr>
          </w:p>
        </w:tc>
        <w:tc>
          <w:tcPr>
            <w:tcW w:w="3647" w:type="dxa"/>
            <w:shd w:val="clear" w:color="auto" w:fill="F3F3F3"/>
          </w:tcPr>
          <w:p w:rsidR="00FC5F3E" w:rsidRPr="00EC3692" w:rsidRDefault="00FC5F3E" w:rsidP="00805E6F">
            <w:pPr>
              <w:rPr>
                <w:rFonts w:ascii="Helvetica Neue" w:hAnsi="Helvetica Neue"/>
                <w:lang w:val="de-DE"/>
              </w:rPr>
            </w:pPr>
          </w:p>
        </w:tc>
        <w:tc>
          <w:tcPr>
            <w:tcW w:w="2303" w:type="dxa"/>
            <w:shd w:val="clear" w:color="auto" w:fill="F3F3F3"/>
          </w:tcPr>
          <w:p w:rsidR="00FC5F3E" w:rsidRPr="00EC3692" w:rsidRDefault="00FC5F3E" w:rsidP="00805E6F">
            <w:pPr>
              <w:rPr>
                <w:rFonts w:ascii="Helvetica Neue" w:hAnsi="Helvetica Neue"/>
                <w:lang w:val="de-DE"/>
              </w:rPr>
            </w:pPr>
          </w:p>
        </w:tc>
        <w:tc>
          <w:tcPr>
            <w:tcW w:w="2303" w:type="dxa"/>
            <w:shd w:val="clear" w:color="auto" w:fill="F3F3F3"/>
          </w:tcPr>
          <w:p w:rsidR="00FC5F3E" w:rsidRPr="00EC3692" w:rsidRDefault="00FC5F3E" w:rsidP="00805E6F">
            <w:pPr>
              <w:rPr>
                <w:rFonts w:ascii="Helvetica Neue" w:hAnsi="Helvetica Neue"/>
                <w:lang w:val="de-DE"/>
              </w:rPr>
            </w:pPr>
          </w:p>
        </w:tc>
      </w:tr>
      <w:tr w:rsidR="00FC5F3E" w:rsidRPr="00EC3692">
        <w:tc>
          <w:tcPr>
            <w:tcW w:w="959" w:type="dxa"/>
            <w:shd w:val="clear" w:color="auto" w:fill="F3F3F3"/>
          </w:tcPr>
          <w:p w:rsidR="00FC5F3E" w:rsidRPr="00EC3692" w:rsidRDefault="00FC5F3E" w:rsidP="00805E6F">
            <w:pPr>
              <w:rPr>
                <w:rFonts w:ascii="Helvetica Neue" w:hAnsi="Helvetica Neue"/>
                <w:lang w:val="de-DE"/>
              </w:rPr>
            </w:pPr>
          </w:p>
        </w:tc>
        <w:tc>
          <w:tcPr>
            <w:tcW w:w="3647" w:type="dxa"/>
            <w:shd w:val="clear" w:color="auto" w:fill="F3F3F3"/>
          </w:tcPr>
          <w:p w:rsidR="00FC5F3E" w:rsidRPr="00FC5F3E" w:rsidRDefault="00FC5F3E" w:rsidP="00805E6F">
            <w:pPr>
              <w:rPr>
                <w:rFonts w:ascii="Helvetica Neue" w:hAnsi="Helvetica Neue"/>
                <w:b/>
                <w:lang w:val="de-DE"/>
              </w:rPr>
            </w:pPr>
            <w:r w:rsidRPr="00FC5F3E">
              <w:rPr>
                <w:rFonts w:ascii="Helvetica Neue" w:hAnsi="Helvetica Neue"/>
                <w:b/>
                <w:lang w:val="de-DE"/>
              </w:rPr>
              <w:t>GESAMT</w:t>
            </w:r>
          </w:p>
        </w:tc>
        <w:tc>
          <w:tcPr>
            <w:tcW w:w="2303" w:type="dxa"/>
            <w:shd w:val="clear" w:color="auto" w:fill="F3F3F3"/>
          </w:tcPr>
          <w:p w:rsidR="00FC5F3E" w:rsidRPr="00FC5F3E" w:rsidRDefault="00FC5F3E" w:rsidP="00805E6F">
            <w:pPr>
              <w:rPr>
                <w:rFonts w:ascii="Helvetica Neue" w:hAnsi="Helvetica Neue"/>
                <w:b/>
                <w:lang w:val="de-DE"/>
              </w:rPr>
            </w:pPr>
            <w:r w:rsidRPr="00FC5F3E">
              <w:rPr>
                <w:rFonts w:ascii="Helvetica Neue" w:hAnsi="Helvetica Neue"/>
                <w:b/>
                <w:lang w:val="de-DE"/>
              </w:rPr>
              <w:t>520.000</w:t>
            </w:r>
          </w:p>
        </w:tc>
        <w:tc>
          <w:tcPr>
            <w:tcW w:w="2303" w:type="dxa"/>
            <w:shd w:val="clear" w:color="auto" w:fill="F3F3F3"/>
          </w:tcPr>
          <w:p w:rsidR="00FC5F3E" w:rsidRPr="00FC5F3E" w:rsidRDefault="00FC5F3E" w:rsidP="00805E6F">
            <w:pPr>
              <w:rPr>
                <w:rFonts w:ascii="Helvetica Neue" w:hAnsi="Helvetica Neue"/>
                <w:b/>
                <w:lang w:val="de-DE"/>
              </w:rPr>
            </w:pPr>
            <w:r w:rsidRPr="00FC5F3E">
              <w:rPr>
                <w:rFonts w:ascii="Helvetica Neue" w:hAnsi="Helvetica Neue"/>
                <w:b/>
                <w:lang w:val="de-DE"/>
              </w:rPr>
              <w:t>16,250</w:t>
            </w:r>
          </w:p>
        </w:tc>
      </w:tr>
      <w:tr w:rsidR="00FC5F3E" w:rsidRPr="00EC3692">
        <w:tc>
          <w:tcPr>
            <w:tcW w:w="959" w:type="dxa"/>
            <w:shd w:val="clear" w:color="auto" w:fill="F3F3F3"/>
          </w:tcPr>
          <w:p w:rsidR="00FC5F3E" w:rsidRPr="00EC3692" w:rsidRDefault="00FC5F3E" w:rsidP="00805E6F">
            <w:pPr>
              <w:rPr>
                <w:rFonts w:ascii="Helvetica Neue" w:hAnsi="Helvetica Neue"/>
                <w:lang w:val="de-DE"/>
              </w:rPr>
            </w:pPr>
          </w:p>
        </w:tc>
        <w:tc>
          <w:tcPr>
            <w:tcW w:w="3647" w:type="dxa"/>
            <w:shd w:val="clear" w:color="auto" w:fill="F3F3F3"/>
          </w:tcPr>
          <w:p w:rsidR="00FC5F3E" w:rsidRPr="00EC3692" w:rsidRDefault="00FC5F3E" w:rsidP="00805E6F">
            <w:pPr>
              <w:rPr>
                <w:rFonts w:ascii="Helvetica Neue" w:hAnsi="Helvetica Neue"/>
                <w:lang w:val="de-DE"/>
              </w:rPr>
            </w:pPr>
          </w:p>
        </w:tc>
        <w:tc>
          <w:tcPr>
            <w:tcW w:w="2303" w:type="dxa"/>
            <w:shd w:val="clear" w:color="auto" w:fill="F3F3F3"/>
          </w:tcPr>
          <w:p w:rsidR="00FC5F3E" w:rsidRPr="00EC3692" w:rsidRDefault="00FC5F3E" w:rsidP="00805E6F">
            <w:pPr>
              <w:rPr>
                <w:rFonts w:ascii="Helvetica Neue" w:hAnsi="Helvetica Neue"/>
                <w:lang w:val="de-DE"/>
              </w:rPr>
            </w:pPr>
          </w:p>
        </w:tc>
        <w:tc>
          <w:tcPr>
            <w:tcW w:w="2303" w:type="dxa"/>
            <w:shd w:val="clear" w:color="auto" w:fill="F3F3F3"/>
          </w:tcPr>
          <w:p w:rsidR="00FC5F3E" w:rsidRPr="00EC3692" w:rsidRDefault="00FC5F3E" w:rsidP="00805E6F">
            <w:pPr>
              <w:rPr>
                <w:rFonts w:ascii="Helvetica Neue" w:hAnsi="Helvetica Neue"/>
                <w:lang w:val="de-DE"/>
              </w:rPr>
            </w:pPr>
          </w:p>
        </w:tc>
      </w:tr>
    </w:tbl>
    <w:p w:rsidR="00805E6F" w:rsidRPr="00EC3692" w:rsidRDefault="00805E6F" w:rsidP="00805E6F">
      <w:pPr>
        <w:rPr>
          <w:rFonts w:ascii="Helvetica Neue" w:hAnsi="Helvetica Neue"/>
          <w:sz w:val="20"/>
          <w:lang w:val="de-DE"/>
        </w:rPr>
      </w:pPr>
    </w:p>
    <w:p w:rsidR="00EC3692" w:rsidRDefault="00EC3692" w:rsidP="00F937E1">
      <w:pPr>
        <w:pBdr>
          <w:bottom w:val="single" w:sz="4" w:space="1" w:color="auto"/>
        </w:pBdr>
        <w:rPr>
          <w:lang w:val="de-DE"/>
        </w:rPr>
      </w:pPr>
    </w:p>
    <w:p w:rsidR="00EC3692" w:rsidRDefault="00EC3692" w:rsidP="00805E6F">
      <w:pPr>
        <w:rPr>
          <w:lang w:val="de-DE"/>
        </w:rPr>
      </w:pPr>
      <w:r>
        <w:rPr>
          <w:lang w:val="de-DE"/>
        </w:rPr>
        <w:t>Michael Zündel, Programme Manager Education</w:t>
      </w:r>
      <w:r>
        <w:rPr>
          <w:lang w:val="de-DE"/>
        </w:rPr>
        <w:br/>
        <w:t>Caritas Auslandshilfe Vorarlberg</w:t>
      </w:r>
    </w:p>
    <w:p w:rsidR="00967868" w:rsidRPr="0009477A" w:rsidRDefault="00EC3692" w:rsidP="00805E6F">
      <w:pPr>
        <w:rPr>
          <w:lang w:val="de-DE"/>
        </w:rPr>
      </w:pPr>
      <w:r>
        <w:rPr>
          <w:lang w:val="de-DE"/>
        </w:rPr>
        <w:t>08.05.2019</w:t>
      </w:r>
    </w:p>
    <w:sectPr w:rsidR="00967868" w:rsidRPr="0009477A" w:rsidSect="00FD7FF9">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DEC" w:rsidRDefault="00331DEC" w:rsidP="00A73039">
      <w:pPr>
        <w:spacing w:after="0" w:line="240" w:lineRule="auto"/>
      </w:pPr>
      <w:r>
        <w:separator/>
      </w:r>
    </w:p>
  </w:endnote>
  <w:endnote w:type="continuationSeparator" w:id="0">
    <w:p w:rsidR="00331DEC" w:rsidRDefault="00331DEC" w:rsidP="00A73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DEC" w:rsidRDefault="00331DEC" w:rsidP="00A73039">
      <w:pPr>
        <w:spacing w:after="0" w:line="240" w:lineRule="auto"/>
      </w:pPr>
      <w:r>
        <w:separator/>
      </w:r>
    </w:p>
  </w:footnote>
  <w:footnote w:type="continuationSeparator" w:id="0">
    <w:p w:rsidR="00331DEC" w:rsidRDefault="00331DEC" w:rsidP="00A730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hyphenationZone w:val="425"/>
  <w:characterSpacingControl w:val="doNotCompress"/>
  <w:footnotePr>
    <w:footnote w:id="-1"/>
    <w:footnote w:id="0"/>
  </w:footnotePr>
  <w:endnotePr>
    <w:endnote w:id="-1"/>
    <w:endnote w:id="0"/>
  </w:endnotePr>
  <w:compat/>
  <w:rsids>
    <w:rsidRoot w:val="0033479E"/>
    <w:rsid w:val="0003576C"/>
    <w:rsid w:val="0009477A"/>
    <w:rsid w:val="000A1522"/>
    <w:rsid w:val="000B3BE1"/>
    <w:rsid w:val="000D23D3"/>
    <w:rsid w:val="000F0793"/>
    <w:rsid w:val="001A558C"/>
    <w:rsid w:val="0020682C"/>
    <w:rsid w:val="00224545"/>
    <w:rsid w:val="002A72C8"/>
    <w:rsid w:val="002C7F8D"/>
    <w:rsid w:val="00331DEC"/>
    <w:rsid w:val="0033479E"/>
    <w:rsid w:val="00397D77"/>
    <w:rsid w:val="00593AEE"/>
    <w:rsid w:val="005B6F36"/>
    <w:rsid w:val="006260D2"/>
    <w:rsid w:val="006B57EB"/>
    <w:rsid w:val="00701CB7"/>
    <w:rsid w:val="00805E6F"/>
    <w:rsid w:val="00912F6B"/>
    <w:rsid w:val="00967868"/>
    <w:rsid w:val="00A73039"/>
    <w:rsid w:val="00BF0159"/>
    <w:rsid w:val="00CF1E08"/>
    <w:rsid w:val="00D171B8"/>
    <w:rsid w:val="00DF5A4A"/>
    <w:rsid w:val="00E0131A"/>
    <w:rsid w:val="00EC3692"/>
    <w:rsid w:val="00F5010E"/>
    <w:rsid w:val="00F937E1"/>
    <w:rsid w:val="00FC5F3E"/>
    <w:rsid w:val="00FD7FF9"/>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FF9"/>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table" w:styleId="Tabellenraster">
    <w:name w:val="Table Grid"/>
    <w:basedOn w:val="NormaleTabelle"/>
    <w:rsid w:val="00A73039"/>
    <w:pPr>
      <w:spacing w:after="0" w:line="240" w:lineRule="auto"/>
    </w:pPr>
    <w:rPr>
      <w:rFonts w:ascii="Times New Roman" w:eastAsia="Times New Roman" w:hAnsi="Times New Roman" w:cs="Times New Roman"/>
      <w:sz w:val="20"/>
      <w:szCs w:val="20"/>
      <w:lang w:val="de-AT"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A73039"/>
    <w:pPr>
      <w:spacing w:after="0" w:line="240" w:lineRule="auto"/>
    </w:pPr>
    <w:rPr>
      <w:rFonts w:ascii="Calibri" w:eastAsia="Calibri" w:hAnsi="Calibri" w:cs="Times New Roman"/>
      <w:sz w:val="20"/>
      <w:szCs w:val="20"/>
      <w:lang w:val="de-DE"/>
    </w:rPr>
  </w:style>
  <w:style w:type="character" w:customStyle="1" w:styleId="FunotentextZeichen">
    <w:name w:val="Fußnotentext Zeichen"/>
    <w:basedOn w:val="Absatzstandardschriftart"/>
    <w:link w:val="Funotentext"/>
    <w:uiPriority w:val="99"/>
    <w:rsid w:val="00A73039"/>
    <w:rPr>
      <w:rFonts w:ascii="Calibri" w:eastAsia="Calibri" w:hAnsi="Calibri" w:cs="Times New Roman"/>
      <w:sz w:val="20"/>
      <w:szCs w:val="20"/>
      <w:lang w:val="de-DE"/>
    </w:rPr>
  </w:style>
  <w:style w:type="character" w:styleId="Funotenzeichen">
    <w:name w:val="footnote reference"/>
    <w:uiPriority w:val="99"/>
    <w:unhideWhenUsed/>
    <w:rsid w:val="00A73039"/>
    <w:rPr>
      <w:vertAlign w:val="superscript"/>
    </w:rPr>
  </w:style>
  <w:style w:type="paragraph" w:customStyle="1" w:styleId="Aufzhlung">
    <w:name w:val="Aufzählung"/>
    <w:basedOn w:val="Standard"/>
    <w:autoRedefine/>
    <w:rsid w:val="00A73039"/>
    <w:pPr>
      <w:overflowPunct w:val="0"/>
      <w:autoSpaceDE w:val="0"/>
      <w:autoSpaceDN w:val="0"/>
      <w:adjustRightInd w:val="0"/>
      <w:spacing w:after="0" w:line="240" w:lineRule="exact"/>
      <w:textAlignment w:val="baseline"/>
    </w:pPr>
    <w:rPr>
      <w:rFonts w:ascii="Arial" w:eastAsia="Times New Roman" w:hAnsi="Arial" w:cs="Times New Roman"/>
      <w:sz w:val="20"/>
      <w:szCs w:val="20"/>
      <w:lang w:val="de-DE"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73039"/>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A73039"/>
    <w:pPr>
      <w:spacing w:after="0" w:line="240" w:lineRule="auto"/>
    </w:pPr>
    <w:rPr>
      <w:rFonts w:ascii="Calibri" w:eastAsia="Calibri" w:hAnsi="Calibri" w:cs="Times New Roman"/>
      <w:sz w:val="20"/>
      <w:szCs w:val="20"/>
      <w:lang w:val="de-DE"/>
    </w:rPr>
  </w:style>
  <w:style w:type="character" w:customStyle="1" w:styleId="FunotentextZchn">
    <w:name w:val="Fußnotentext Zchn"/>
    <w:basedOn w:val="Absatz-Standardschriftart"/>
    <w:link w:val="Funotentext"/>
    <w:uiPriority w:val="99"/>
    <w:rsid w:val="00A73039"/>
    <w:rPr>
      <w:rFonts w:ascii="Calibri" w:eastAsia="Calibri" w:hAnsi="Calibri" w:cs="Times New Roman"/>
      <w:sz w:val="20"/>
      <w:szCs w:val="20"/>
      <w:lang w:val="de-DE"/>
    </w:rPr>
  </w:style>
  <w:style w:type="character" w:styleId="Funotenzeichen">
    <w:name w:val="footnote reference"/>
    <w:uiPriority w:val="99"/>
    <w:unhideWhenUsed/>
    <w:rsid w:val="00A73039"/>
    <w:rPr>
      <w:vertAlign w:val="superscript"/>
    </w:rPr>
  </w:style>
  <w:style w:type="paragraph" w:customStyle="1" w:styleId="Aufzhlung">
    <w:name w:val="Aufzählung"/>
    <w:basedOn w:val="Standard"/>
    <w:autoRedefine/>
    <w:rsid w:val="00A73039"/>
    <w:pPr>
      <w:overflowPunct w:val="0"/>
      <w:autoSpaceDE w:val="0"/>
      <w:autoSpaceDN w:val="0"/>
      <w:adjustRightInd w:val="0"/>
      <w:spacing w:after="0" w:line="240" w:lineRule="exact"/>
      <w:textAlignment w:val="baseline"/>
    </w:pPr>
    <w:rPr>
      <w:rFonts w:ascii="Arial" w:eastAsia="Times New Roman" w:hAnsi="Arial" w:cs="Times New Roman"/>
      <w:sz w:val="20"/>
      <w:szCs w:val="20"/>
      <w:lang w:val="de-DE" w:eastAsia="de-AT"/>
    </w:rPr>
  </w:style>
</w:styles>
</file>

<file path=word/webSettings.xml><?xml version="1.0" encoding="utf-8"?>
<w:webSettings xmlns:r="http://schemas.openxmlformats.org/officeDocument/2006/relationships" xmlns:w="http://schemas.openxmlformats.org/wordprocessingml/2006/main">
  <w:divs>
    <w:div w:id="467627211">
      <w:bodyDiv w:val="1"/>
      <w:marLeft w:val="0"/>
      <w:marRight w:val="0"/>
      <w:marTop w:val="0"/>
      <w:marBottom w:val="0"/>
      <w:divBdr>
        <w:top w:val="none" w:sz="0" w:space="0" w:color="auto"/>
        <w:left w:val="none" w:sz="0" w:space="0" w:color="auto"/>
        <w:bottom w:val="none" w:sz="0" w:space="0" w:color="auto"/>
        <w:right w:val="none" w:sz="0" w:space="0" w:color="auto"/>
      </w:divBdr>
      <w:divsChild>
        <w:div w:id="823400597">
          <w:marLeft w:val="0"/>
          <w:marRight w:val="0"/>
          <w:marTop w:val="0"/>
          <w:marBottom w:val="0"/>
          <w:divBdr>
            <w:top w:val="none" w:sz="0" w:space="0" w:color="auto"/>
            <w:left w:val="none" w:sz="0" w:space="0" w:color="auto"/>
            <w:bottom w:val="none" w:sz="0" w:space="0" w:color="auto"/>
            <w:right w:val="none" w:sz="0" w:space="0" w:color="auto"/>
          </w:divBdr>
          <w:divsChild>
            <w:div w:id="25982151">
              <w:marLeft w:val="0"/>
              <w:marRight w:val="0"/>
              <w:marTop w:val="0"/>
              <w:marBottom w:val="0"/>
              <w:divBdr>
                <w:top w:val="none" w:sz="0" w:space="0" w:color="auto"/>
                <w:left w:val="none" w:sz="0" w:space="0" w:color="auto"/>
                <w:bottom w:val="none" w:sz="0" w:space="0" w:color="auto"/>
                <w:right w:val="none" w:sz="0" w:space="0" w:color="auto"/>
              </w:divBdr>
              <w:divsChild>
                <w:div w:id="667171284">
                  <w:marLeft w:val="0"/>
                  <w:marRight w:val="0"/>
                  <w:marTop w:val="0"/>
                  <w:marBottom w:val="0"/>
                  <w:divBdr>
                    <w:top w:val="none" w:sz="0" w:space="0" w:color="auto"/>
                    <w:left w:val="none" w:sz="0" w:space="0" w:color="auto"/>
                    <w:bottom w:val="none" w:sz="0" w:space="0" w:color="auto"/>
                    <w:right w:val="none" w:sz="0" w:space="0" w:color="auto"/>
                  </w:divBdr>
                  <w:divsChild>
                    <w:div w:id="1988237518">
                      <w:marLeft w:val="0"/>
                      <w:marRight w:val="0"/>
                      <w:marTop w:val="0"/>
                      <w:marBottom w:val="0"/>
                      <w:divBdr>
                        <w:top w:val="none" w:sz="0" w:space="0" w:color="auto"/>
                        <w:left w:val="none" w:sz="0" w:space="0" w:color="auto"/>
                        <w:bottom w:val="none" w:sz="0" w:space="0" w:color="auto"/>
                        <w:right w:val="none" w:sz="0" w:space="0" w:color="auto"/>
                      </w:divBdr>
                      <w:divsChild>
                        <w:div w:id="1834643660">
                          <w:marLeft w:val="0"/>
                          <w:marRight w:val="0"/>
                          <w:marTop w:val="0"/>
                          <w:marBottom w:val="0"/>
                          <w:divBdr>
                            <w:top w:val="none" w:sz="0" w:space="0" w:color="auto"/>
                            <w:left w:val="none" w:sz="0" w:space="0" w:color="auto"/>
                            <w:bottom w:val="none" w:sz="0" w:space="0" w:color="auto"/>
                            <w:right w:val="none" w:sz="0" w:space="0" w:color="auto"/>
                          </w:divBdr>
                          <w:divsChild>
                            <w:div w:id="12624">
                              <w:marLeft w:val="0"/>
                              <w:marRight w:val="0"/>
                              <w:marTop w:val="0"/>
                              <w:marBottom w:val="0"/>
                              <w:divBdr>
                                <w:top w:val="none" w:sz="0" w:space="0" w:color="auto"/>
                                <w:left w:val="none" w:sz="0" w:space="0" w:color="auto"/>
                                <w:bottom w:val="none" w:sz="0" w:space="0" w:color="auto"/>
                                <w:right w:val="none" w:sz="0" w:space="0" w:color="auto"/>
                              </w:divBdr>
                              <w:divsChild>
                                <w:div w:id="324207503">
                                  <w:marLeft w:val="0"/>
                                  <w:marRight w:val="0"/>
                                  <w:marTop w:val="0"/>
                                  <w:marBottom w:val="0"/>
                                  <w:divBdr>
                                    <w:top w:val="none" w:sz="0" w:space="0" w:color="auto"/>
                                    <w:left w:val="none" w:sz="0" w:space="0" w:color="auto"/>
                                    <w:bottom w:val="none" w:sz="0" w:space="0" w:color="auto"/>
                                    <w:right w:val="none" w:sz="0" w:space="0" w:color="auto"/>
                                  </w:divBdr>
                                  <w:divsChild>
                                    <w:div w:id="1982349607">
                                      <w:marLeft w:val="0"/>
                                      <w:marRight w:val="0"/>
                                      <w:marTop w:val="0"/>
                                      <w:marBottom w:val="0"/>
                                      <w:divBdr>
                                        <w:top w:val="none" w:sz="0" w:space="0" w:color="auto"/>
                                        <w:left w:val="none" w:sz="0" w:space="0" w:color="auto"/>
                                        <w:bottom w:val="none" w:sz="0" w:space="0" w:color="auto"/>
                                        <w:right w:val="none" w:sz="0" w:space="0" w:color="auto"/>
                                      </w:divBdr>
                                      <w:divsChild>
                                        <w:div w:id="1241603095">
                                          <w:marLeft w:val="0"/>
                                          <w:marRight w:val="0"/>
                                          <w:marTop w:val="0"/>
                                          <w:marBottom w:val="495"/>
                                          <w:divBdr>
                                            <w:top w:val="none" w:sz="0" w:space="0" w:color="auto"/>
                                            <w:left w:val="none" w:sz="0" w:space="0" w:color="auto"/>
                                            <w:bottom w:val="none" w:sz="0" w:space="0" w:color="auto"/>
                                            <w:right w:val="none" w:sz="0" w:space="0" w:color="auto"/>
                                          </w:divBdr>
                                          <w:divsChild>
                                            <w:div w:id="8578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414109">
      <w:bodyDiv w:val="1"/>
      <w:marLeft w:val="0"/>
      <w:marRight w:val="0"/>
      <w:marTop w:val="0"/>
      <w:marBottom w:val="0"/>
      <w:divBdr>
        <w:top w:val="none" w:sz="0" w:space="0" w:color="auto"/>
        <w:left w:val="none" w:sz="0" w:space="0" w:color="auto"/>
        <w:bottom w:val="none" w:sz="0" w:space="0" w:color="auto"/>
        <w:right w:val="none" w:sz="0" w:space="0" w:color="auto"/>
      </w:divBdr>
      <w:divsChild>
        <w:div w:id="1373384028">
          <w:marLeft w:val="0"/>
          <w:marRight w:val="0"/>
          <w:marTop w:val="0"/>
          <w:marBottom w:val="0"/>
          <w:divBdr>
            <w:top w:val="none" w:sz="0" w:space="0" w:color="auto"/>
            <w:left w:val="none" w:sz="0" w:space="0" w:color="auto"/>
            <w:bottom w:val="none" w:sz="0" w:space="0" w:color="auto"/>
            <w:right w:val="none" w:sz="0" w:space="0" w:color="auto"/>
          </w:divBdr>
          <w:divsChild>
            <w:div w:id="1580797498">
              <w:marLeft w:val="0"/>
              <w:marRight w:val="0"/>
              <w:marTop w:val="0"/>
              <w:marBottom w:val="0"/>
              <w:divBdr>
                <w:top w:val="none" w:sz="0" w:space="0" w:color="auto"/>
                <w:left w:val="none" w:sz="0" w:space="0" w:color="auto"/>
                <w:bottom w:val="none" w:sz="0" w:space="0" w:color="auto"/>
                <w:right w:val="none" w:sz="0" w:space="0" w:color="auto"/>
              </w:divBdr>
              <w:divsChild>
                <w:div w:id="2077891675">
                  <w:marLeft w:val="0"/>
                  <w:marRight w:val="0"/>
                  <w:marTop w:val="0"/>
                  <w:marBottom w:val="0"/>
                  <w:divBdr>
                    <w:top w:val="none" w:sz="0" w:space="0" w:color="auto"/>
                    <w:left w:val="none" w:sz="0" w:space="0" w:color="auto"/>
                    <w:bottom w:val="none" w:sz="0" w:space="0" w:color="auto"/>
                    <w:right w:val="none" w:sz="0" w:space="0" w:color="auto"/>
                  </w:divBdr>
                  <w:divsChild>
                    <w:div w:id="1161777815">
                      <w:marLeft w:val="0"/>
                      <w:marRight w:val="0"/>
                      <w:marTop w:val="0"/>
                      <w:marBottom w:val="0"/>
                      <w:divBdr>
                        <w:top w:val="none" w:sz="0" w:space="0" w:color="auto"/>
                        <w:left w:val="none" w:sz="0" w:space="0" w:color="auto"/>
                        <w:bottom w:val="none" w:sz="0" w:space="0" w:color="auto"/>
                        <w:right w:val="none" w:sz="0" w:space="0" w:color="auto"/>
                      </w:divBdr>
                      <w:divsChild>
                        <w:div w:id="966819113">
                          <w:marLeft w:val="0"/>
                          <w:marRight w:val="0"/>
                          <w:marTop w:val="0"/>
                          <w:marBottom w:val="0"/>
                          <w:divBdr>
                            <w:top w:val="none" w:sz="0" w:space="0" w:color="auto"/>
                            <w:left w:val="none" w:sz="0" w:space="0" w:color="auto"/>
                            <w:bottom w:val="none" w:sz="0" w:space="0" w:color="auto"/>
                            <w:right w:val="none" w:sz="0" w:space="0" w:color="auto"/>
                          </w:divBdr>
                          <w:divsChild>
                            <w:div w:id="603195147">
                              <w:marLeft w:val="0"/>
                              <w:marRight w:val="0"/>
                              <w:marTop w:val="0"/>
                              <w:marBottom w:val="0"/>
                              <w:divBdr>
                                <w:top w:val="none" w:sz="0" w:space="0" w:color="auto"/>
                                <w:left w:val="none" w:sz="0" w:space="0" w:color="auto"/>
                                <w:bottom w:val="none" w:sz="0" w:space="0" w:color="auto"/>
                                <w:right w:val="none" w:sz="0" w:space="0" w:color="auto"/>
                              </w:divBdr>
                              <w:divsChild>
                                <w:div w:id="1552383032">
                                  <w:marLeft w:val="0"/>
                                  <w:marRight w:val="0"/>
                                  <w:marTop w:val="0"/>
                                  <w:marBottom w:val="0"/>
                                  <w:divBdr>
                                    <w:top w:val="none" w:sz="0" w:space="0" w:color="auto"/>
                                    <w:left w:val="none" w:sz="0" w:space="0" w:color="auto"/>
                                    <w:bottom w:val="none" w:sz="0" w:space="0" w:color="auto"/>
                                    <w:right w:val="none" w:sz="0" w:space="0" w:color="auto"/>
                                  </w:divBdr>
                                  <w:divsChild>
                                    <w:div w:id="71052917">
                                      <w:marLeft w:val="0"/>
                                      <w:marRight w:val="0"/>
                                      <w:marTop w:val="0"/>
                                      <w:marBottom w:val="0"/>
                                      <w:divBdr>
                                        <w:top w:val="none" w:sz="0" w:space="0" w:color="auto"/>
                                        <w:left w:val="none" w:sz="0" w:space="0" w:color="auto"/>
                                        <w:bottom w:val="none" w:sz="0" w:space="0" w:color="auto"/>
                                        <w:right w:val="none" w:sz="0" w:space="0" w:color="auto"/>
                                      </w:divBdr>
                                      <w:divsChild>
                                        <w:div w:id="1668940910">
                                          <w:marLeft w:val="0"/>
                                          <w:marRight w:val="0"/>
                                          <w:marTop w:val="0"/>
                                          <w:marBottom w:val="495"/>
                                          <w:divBdr>
                                            <w:top w:val="none" w:sz="0" w:space="0" w:color="auto"/>
                                            <w:left w:val="none" w:sz="0" w:space="0" w:color="auto"/>
                                            <w:bottom w:val="none" w:sz="0" w:space="0" w:color="auto"/>
                                            <w:right w:val="none" w:sz="0" w:space="0" w:color="auto"/>
                                          </w:divBdr>
                                          <w:divsChild>
                                            <w:div w:id="391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9309</Characters>
  <Application>Microsoft Macintosh Word</Application>
  <DocSecurity>0</DocSecurity>
  <Lines>77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Hammerl, Valentin</dc:creator>
  <cp:lastModifiedBy>.</cp:lastModifiedBy>
  <cp:revision>4</cp:revision>
  <dcterms:created xsi:type="dcterms:W3CDTF">2019-05-08T13:59:00Z</dcterms:created>
  <dcterms:modified xsi:type="dcterms:W3CDTF">2019-05-08T14:16:00Z</dcterms:modified>
</cp:coreProperties>
</file>